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rFonts w:cs="Arial"/>
          <w:b/>
          <w:b/>
          <w:bCs/>
          <w:color w:val="000000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ANEXO II</w:t>
      </w:r>
    </w:p>
    <w:p>
      <w:pPr>
        <w:pStyle w:val="Normal"/>
        <w:spacing w:lineRule="auto" w:line="276"/>
        <w:jc w:val="center"/>
        <w:rPr>
          <w:rFonts w:cs="Arial"/>
          <w:b/>
          <w:b/>
          <w:bCs/>
          <w:color w:val="000000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TERMO DE REFERÊNCIA – LEI 14.133/21</w:t>
      </w:r>
    </w:p>
    <w:p>
      <w:pPr>
        <w:pStyle w:val="Normal"/>
        <w:spacing w:lineRule="auto" w:line="2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DISPENSA </w:t>
      </w:r>
      <w:r>
        <w:rPr>
          <w:rFonts w:ascii="Times New Roman" w:hAnsi="Times New Roman"/>
          <w:b/>
          <w:bCs/>
          <w:sz w:val="24"/>
          <w:szCs w:val="24"/>
        </w:rPr>
        <w:t xml:space="preserve">ELETRÔNICA </w:t>
      </w:r>
      <w:r>
        <w:rPr>
          <w:rFonts w:ascii="Times New Roman" w:hAnsi="Times New Roman"/>
          <w:b/>
          <w:bCs/>
          <w:sz w:val="24"/>
          <w:szCs w:val="24"/>
        </w:rPr>
        <w:t xml:space="preserve">DE LICITAÇÃO – AQUISIÇÃO DE </w:t>
      </w:r>
      <w:r>
        <w:rPr>
          <w:rFonts w:ascii="Times New Roman" w:hAnsi="Times New Roman"/>
          <w:b/>
          <w:bCs/>
          <w:sz w:val="24"/>
          <w:szCs w:val="24"/>
        </w:rPr>
        <w:t xml:space="preserve">MATERIAL DE EXPEDIENTE E PAPELARIA </w:t>
      </w:r>
      <w:r>
        <w:rPr>
          <w:rFonts w:ascii="Times New Roman" w:hAnsi="Times New Roman"/>
          <w:b/>
          <w:bCs/>
          <w:sz w:val="24"/>
          <w:szCs w:val="24"/>
        </w:rPr>
        <w:t xml:space="preserve">PARA O INSTITUTO DE PREVIDÊNCIA – </w:t>
      </w:r>
      <w:r>
        <w:rPr>
          <w:rFonts w:cs="Arial" w:ascii="Times New Roman" w:hAnsi="Times New Roman"/>
          <w:b/>
          <w:bCs/>
          <w:sz w:val="24"/>
          <w:szCs w:val="24"/>
          <w:u w:val="none"/>
        </w:rPr>
        <w:t>SGP-PREV</w:t>
      </w:r>
    </w:p>
    <w:p>
      <w:pPr>
        <w:pStyle w:val="Normal"/>
        <w:spacing w:lineRule="auto" w:line="276"/>
        <w:jc w:val="center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iCs/>
          <w:color w:val="000000"/>
          <w:sz w:val="24"/>
          <w:szCs w:val="24"/>
        </w:rPr>
        <w:t xml:space="preserve">Processo Administrativo nº 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05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6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/2024</w:t>
      </w:r>
    </w:p>
    <w:p>
      <w:pPr>
        <w:pStyle w:val="Normal"/>
        <w:spacing w:lineRule="auto" w:line="276"/>
        <w:jc w:val="center"/>
        <w:rPr>
          <w:rFonts w:ascii="Times New Roman" w:hAnsi="Times New Roman" w:cs="Arial"/>
          <w:b/>
          <w:b/>
          <w:sz w:val="24"/>
          <w:szCs w:val="24"/>
          <w:u w:val="single"/>
        </w:rPr>
      </w:pPr>
      <w:r>
        <w:rPr>
          <w:rFonts w:cs="Arial" w:ascii="Times New Roman" w:hAnsi="Times New Roman"/>
          <w:b/>
          <w:sz w:val="24"/>
          <w:szCs w:val="24"/>
          <w:u w:val="single"/>
        </w:rPr>
      </w:r>
    </w:p>
    <w:p>
      <w:pPr>
        <w:pStyle w:val="Nivel1"/>
        <w:spacing w:before="0" w:after="0"/>
        <w:rPr>
          <w:rFonts w:cs="Times New Roman"/>
          <w:bCs/>
        </w:rPr>
      </w:pPr>
      <w:r>
        <w:rPr>
          <w:rFonts w:cs="Times New Roman" w:ascii="Times New Roman" w:hAnsi="Times New Roman"/>
          <w:bCs/>
          <w:sz w:val="24"/>
          <w:szCs w:val="24"/>
        </w:rPr>
        <w:t>1. DAS CONDIÇÕES GERAIS DA CONTRATAÇÃO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1.1 </w:t>
      </w:r>
      <w:r>
        <w:rPr>
          <w:rFonts w:eastAsia="Times New Roman" w:cs="Times New Roman" w:ascii="Times New Roman" w:hAnsi="Times New Roman"/>
          <w:b w:val="false"/>
          <w:bCs w:val="false"/>
          <w:iCs/>
          <w:color w:val="000000"/>
          <w:sz w:val="24"/>
          <w:szCs w:val="24"/>
        </w:rPr>
        <w:t xml:space="preserve">O objeto do presente instrumento é a </w:t>
      </w:r>
      <w:r>
        <w:rPr>
          <w:rFonts w:eastAsia="Times New Roman" w:cs="Times New Roman" w:ascii="Times New Roman" w:hAnsi="Times New Roman"/>
          <w:b w:val="false"/>
          <w:bCs w:val="false"/>
          <w:iCs/>
          <w:color w:val="000000"/>
          <w:sz w:val="24"/>
          <w:szCs w:val="24"/>
        </w:rPr>
        <w:t xml:space="preserve">aquisição de material de expediente e papelaria, em atendimento às necessidades do </w:t>
      </w:r>
      <w:r>
        <w:rPr>
          <w:rFonts w:eastAsia="Times New Roman" w:cs="Times New Roman" w:ascii="Times New Roman" w:hAnsi="Times New Roman"/>
          <w:b w:val="false"/>
          <w:bCs w:val="false"/>
          <w:iCs/>
          <w:color w:val="000000"/>
          <w:sz w:val="24"/>
          <w:szCs w:val="24"/>
        </w:rPr>
        <w:t xml:space="preserve">Instituto de Previdência de São Gabriel da Palha – ES, nos termos da tabela abaixo, conforme condições e exigências estabelecidas neste </w:t>
      </w:r>
      <w:r>
        <w:rPr>
          <w:rFonts w:eastAsia="Times New Roman" w:cs="Times New Roman" w:ascii="Times New Roman" w:hAnsi="Times New Roman"/>
          <w:b w:val="false"/>
          <w:bCs w:val="false"/>
          <w:iCs/>
          <w:color w:val="000000"/>
          <w:sz w:val="24"/>
          <w:szCs w:val="24"/>
        </w:rPr>
        <w:t>instrumento</w:t>
      </w:r>
      <w:r>
        <w:rPr>
          <w:rFonts w:eastAsia="Times New Roman" w:cs="Times New Roman" w:ascii="Times New Roman" w:hAnsi="Times New Roman"/>
          <w:b w:val="false"/>
          <w:bCs w:val="false"/>
          <w:iCs/>
          <w:color w:val="000000"/>
          <w:sz w:val="24"/>
          <w:szCs w:val="24"/>
        </w:rPr>
        <w:t>.</w:t>
      </w:r>
    </w:p>
    <w:tbl>
      <w:tblPr>
        <w:tblStyle w:val="3"/>
        <w:tblW w:w="10590" w:type="dxa"/>
        <w:jc w:val="left"/>
        <w:tblInd w:w="-595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1021"/>
        <w:gridCol w:w="3509"/>
        <w:gridCol w:w="1590"/>
        <w:gridCol w:w="1410"/>
        <w:gridCol w:w="1684"/>
        <w:gridCol w:w="1376"/>
      </w:tblGrid>
      <w:tr>
        <w:trPr>
          <w:trHeight w:val="840" w:hRule="atLeast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Times New Roman" w:cs="Times New Roman"/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35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DESCRIÇÃO/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ESPECIFICAÇÃO</w:t>
            </w:r>
          </w:p>
        </w:tc>
        <w:tc>
          <w:tcPr>
            <w:tcW w:w="15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UNIDADE DE MEDIDA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QUANT</w:t>
            </w:r>
          </w:p>
        </w:tc>
        <w:tc>
          <w:tcPr>
            <w:tcW w:w="1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b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VALOR ESTIMADO UNITÁRIO</w:t>
            </w:r>
          </w:p>
        </w:tc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b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VALOR ESTIMADO TOTAL</w:t>
            </w:r>
          </w:p>
        </w:tc>
      </w:tr>
      <w:tr>
        <w:trPr>
          <w:trHeight w:val="1187" w:hRule="atLeast"/>
        </w:trPr>
        <w:tc>
          <w:tcPr>
            <w:tcW w:w="10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3509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4"/>
                <w:szCs w:val="24"/>
              </w:rPr>
              <w:t>Caixa Arquivo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 xml:space="preserve"> Material: Plástico Corrugado, Dimensão (C X L X A): 36,0 X 13,5 X 25,0 CM, Cor: Colorido, Impressão: Padrão, Características Adicionais: Com Trava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Und</w:t>
            </w:r>
          </w:p>
        </w:tc>
        <w:tc>
          <w:tcPr>
            <w:tcW w:w="141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24</w:t>
            </w:r>
          </w:p>
        </w:tc>
        <w:tc>
          <w:tcPr>
            <w:tcW w:w="1684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R$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4,05</w:t>
            </w:r>
          </w:p>
        </w:tc>
        <w:tc>
          <w:tcPr>
            <w:tcW w:w="13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R$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97,20</w:t>
            </w:r>
          </w:p>
        </w:tc>
      </w:tr>
      <w:tr>
        <w:trPr>
          <w:trHeight w:val="1187" w:hRule="atLeast"/>
        </w:trPr>
        <w:tc>
          <w:tcPr>
            <w:tcW w:w="10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3509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Arial" w:ascii="Times New Roman" w:hAnsi="Times New Roman"/>
                <w:b/>
                <w:bCs/>
                <w:i w:val="false"/>
                <w:iCs w:val="false"/>
                <w:color w:val="000000"/>
                <w:sz w:val="24"/>
                <w:szCs w:val="24"/>
                <w:lang w:eastAsia="pt-BR"/>
              </w:rPr>
              <w:t>Apontador Lápis</w:t>
            </w:r>
            <w:r>
              <w:rPr>
                <w:rFonts w:eastAsia="Times New Roman"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  <w:lang w:eastAsia="pt-BR"/>
              </w:rPr>
              <w:t xml:space="preserve"> Material: Plástico, Tipo: Escolar, Cor: Preta, Tamanho: Médio, Quantidade Furos: 1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Und</w:t>
            </w:r>
          </w:p>
        </w:tc>
        <w:tc>
          <w:tcPr>
            <w:tcW w:w="141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84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R$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4,89</w:t>
            </w:r>
          </w:p>
        </w:tc>
        <w:tc>
          <w:tcPr>
            <w:tcW w:w="13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R$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14,67</w:t>
            </w:r>
          </w:p>
        </w:tc>
      </w:tr>
      <w:tr>
        <w:trPr>
          <w:trHeight w:val="1187" w:hRule="atLeast"/>
        </w:trPr>
        <w:tc>
          <w:tcPr>
            <w:tcW w:w="10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3509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4"/>
                <w:szCs w:val="24"/>
              </w:rPr>
              <w:t xml:space="preserve">Lápis Preto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>Material Corpo: Madeira De Manejo Sustentável , Dureza Carga: B , Formato Corpo: Sextavado , Material Carga: Grafite Preto Nº2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Und</w:t>
            </w:r>
          </w:p>
        </w:tc>
        <w:tc>
          <w:tcPr>
            <w:tcW w:w="141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84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R$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0,21</w:t>
            </w:r>
          </w:p>
        </w:tc>
        <w:tc>
          <w:tcPr>
            <w:tcW w:w="13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R$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1,05</w:t>
            </w:r>
          </w:p>
        </w:tc>
      </w:tr>
      <w:tr>
        <w:trPr>
          <w:trHeight w:val="1187" w:hRule="atLeast"/>
        </w:trPr>
        <w:tc>
          <w:tcPr>
            <w:tcW w:w="10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3509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4"/>
                <w:szCs w:val="24"/>
              </w:rPr>
              <w:t xml:space="preserve">Régua Escritório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>Material: Plástico , Comprimento: 30 CM, Graduação: Centímetro/Milímetro , Tipo Material: Flexível , Cor: Incolor , Características Adicionais: 2,6 Cm De Largura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Und</w:t>
            </w:r>
          </w:p>
        </w:tc>
        <w:tc>
          <w:tcPr>
            <w:tcW w:w="141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84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R$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1,94</w:t>
            </w:r>
          </w:p>
        </w:tc>
        <w:tc>
          <w:tcPr>
            <w:tcW w:w="13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R$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9,70</w:t>
            </w:r>
          </w:p>
        </w:tc>
      </w:tr>
      <w:tr>
        <w:trPr>
          <w:trHeight w:val="1187" w:hRule="atLeast"/>
        </w:trPr>
        <w:tc>
          <w:tcPr>
            <w:tcW w:w="10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3509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4"/>
                <w:szCs w:val="24"/>
              </w:rPr>
              <w:t xml:space="preserve">Tinta Para Carimbo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>Cor: Preta , Componentes: Base D'Água, Corante, Solventes E Aditivos , Aspecto Físico: Líquido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Frasco 45 ml</w:t>
            </w:r>
          </w:p>
        </w:tc>
        <w:tc>
          <w:tcPr>
            <w:tcW w:w="141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84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R$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13,99</w:t>
            </w:r>
          </w:p>
        </w:tc>
        <w:tc>
          <w:tcPr>
            <w:tcW w:w="13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R$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27,98</w:t>
            </w:r>
          </w:p>
        </w:tc>
      </w:tr>
      <w:tr>
        <w:trPr>
          <w:trHeight w:val="1187" w:hRule="atLeast"/>
        </w:trPr>
        <w:tc>
          <w:tcPr>
            <w:tcW w:w="10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3509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4"/>
                <w:szCs w:val="24"/>
              </w:rPr>
              <w:t xml:space="preserve">Corretivo Líquido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>Material: Base D'Água - Secagem Rápida , Características Adicionais: Atóxico, Lavável, Inodoro.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Frasco 18 ml</w:t>
            </w:r>
          </w:p>
        </w:tc>
        <w:tc>
          <w:tcPr>
            <w:tcW w:w="141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84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R$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3,59</w:t>
            </w:r>
          </w:p>
        </w:tc>
        <w:tc>
          <w:tcPr>
            <w:tcW w:w="13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R$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7,18</w:t>
            </w:r>
          </w:p>
        </w:tc>
      </w:tr>
      <w:tr>
        <w:trPr>
          <w:trHeight w:val="1187" w:hRule="atLeast"/>
        </w:trPr>
        <w:tc>
          <w:tcPr>
            <w:tcW w:w="10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3509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4"/>
                <w:szCs w:val="24"/>
              </w:rPr>
              <w:t xml:space="preserve">Bloco Recado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>Material: Papel Reciclado , Cor: Natural , Largura: 76 MM, Comprimento: 76 MM, Características Adicionais: Auto-Adesivo, Removível, Post-It , Quantidade Folhas: 100 U. Pacote contendo 4 blocos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Pct</w:t>
            </w:r>
          </w:p>
        </w:tc>
        <w:tc>
          <w:tcPr>
            <w:tcW w:w="141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84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R$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5,81</w:t>
            </w:r>
          </w:p>
        </w:tc>
        <w:tc>
          <w:tcPr>
            <w:tcW w:w="13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R$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87,15</w:t>
            </w:r>
          </w:p>
        </w:tc>
      </w:tr>
      <w:tr>
        <w:trPr>
          <w:trHeight w:val="1187" w:hRule="atLeast"/>
        </w:trPr>
        <w:tc>
          <w:tcPr>
            <w:tcW w:w="10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3509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4"/>
                <w:szCs w:val="24"/>
              </w:rPr>
              <w:t xml:space="preserve">Bloco Recado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>Material: Papel , Cor: Branca, Largura: 102 MM, Comprimento: 152 MM, Tipo: Removível, Características Adicionais: Auto-Adesivo. Quantidade Folhas por bloco: 100 U.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Und</w:t>
            </w:r>
          </w:p>
        </w:tc>
        <w:tc>
          <w:tcPr>
            <w:tcW w:w="141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84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R$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2,66</w:t>
            </w:r>
          </w:p>
        </w:tc>
        <w:tc>
          <w:tcPr>
            <w:tcW w:w="13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R$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15,96</w:t>
            </w:r>
          </w:p>
        </w:tc>
      </w:tr>
      <w:tr>
        <w:trPr>
          <w:trHeight w:val="1187" w:hRule="atLeast"/>
        </w:trPr>
        <w:tc>
          <w:tcPr>
            <w:tcW w:w="10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3509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4"/>
                <w:szCs w:val="24"/>
              </w:rPr>
              <w:t xml:space="preserve">Grampo Trilho Encadernador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>Material: Aço , Comprimento: 180 MM, Aplicação: Fixação Folhas Em Processos , Tratamento Superficial: Niquelado , Características Adicionais: Distancia Entre Furos De 80 Mm. Caixa com 50 unidades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Cx</w:t>
            </w:r>
          </w:p>
        </w:tc>
        <w:tc>
          <w:tcPr>
            <w:tcW w:w="141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84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R$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14,61</w:t>
            </w:r>
          </w:p>
        </w:tc>
        <w:tc>
          <w:tcPr>
            <w:tcW w:w="13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R$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43,83</w:t>
            </w:r>
          </w:p>
        </w:tc>
      </w:tr>
      <w:tr>
        <w:trPr>
          <w:trHeight w:val="1187" w:hRule="atLeast"/>
        </w:trPr>
        <w:tc>
          <w:tcPr>
            <w:tcW w:w="10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09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4"/>
                <w:szCs w:val="24"/>
              </w:rPr>
              <w:t xml:space="preserve">Fita Adesiva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>Material: Polipropileno , Tipo: Transparente , Largura: 50 MM, Comprimento: 50 M, Aplicação: Empacotamento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Rolo 50m</w:t>
            </w:r>
          </w:p>
        </w:tc>
        <w:tc>
          <w:tcPr>
            <w:tcW w:w="141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84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R$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3,76</w:t>
            </w:r>
          </w:p>
        </w:tc>
        <w:tc>
          <w:tcPr>
            <w:tcW w:w="13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R$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18,80</w:t>
            </w:r>
          </w:p>
        </w:tc>
      </w:tr>
      <w:tr>
        <w:trPr>
          <w:trHeight w:val="1187" w:hRule="atLeast"/>
        </w:trPr>
        <w:tc>
          <w:tcPr>
            <w:tcW w:w="10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09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4"/>
                <w:szCs w:val="24"/>
              </w:rPr>
              <w:t xml:space="preserve">Papel Para Impressão Formatado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>Tipo: Sulfite/Apergaminhado/Ofício , Tamanho (C X L): 297 X 210 MM, Gramatura: 75 G/M2, Cor: Branco. Caixa contendo 10 pacotes de 500 folhas cada.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Cx</w:t>
            </w:r>
          </w:p>
        </w:tc>
        <w:tc>
          <w:tcPr>
            <w:tcW w:w="141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84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R$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21,31</w:t>
            </w:r>
          </w:p>
        </w:tc>
        <w:tc>
          <w:tcPr>
            <w:tcW w:w="13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R$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639,30</w:t>
            </w:r>
          </w:p>
        </w:tc>
      </w:tr>
      <w:tr>
        <w:trPr>
          <w:trHeight w:val="1187" w:hRule="atLeast"/>
        </w:trPr>
        <w:tc>
          <w:tcPr>
            <w:tcW w:w="10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09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4"/>
                <w:szCs w:val="24"/>
              </w:rPr>
              <w:t xml:space="preserve">Barbante Algodão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>Quantidade Fios: 6 UN, Acabamento Superficial: Encerado, Rolo com 100 metros.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Rolo</w:t>
            </w:r>
          </w:p>
        </w:tc>
        <w:tc>
          <w:tcPr>
            <w:tcW w:w="141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84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R$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11,63</w:t>
            </w:r>
          </w:p>
        </w:tc>
        <w:tc>
          <w:tcPr>
            <w:tcW w:w="13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R$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23,26</w:t>
            </w:r>
          </w:p>
        </w:tc>
      </w:tr>
      <w:tr>
        <w:trPr>
          <w:trHeight w:val="1187" w:hRule="atLeast"/>
        </w:trPr>
        <w:tc>
          <w:tcPr>
            <w:tcW w:w="10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09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4"/>
                <w:szCs w:val="24"/>
              </w:rPr>
              <w:t xml:space="preserve">Pilha AA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>Tamanho: Palito , Tipo: Alcalina , Modelo: Aa , Características Adicionais: Não Recarregável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Und</w:t>
            </w:r>
          </w:p>
        </w:tc>
        <w:tc>
          <w:tcPr>
            <w:tcW w:w="141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684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R$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8,85</w:t>
            </w:r>
          </w:p>
        </w:tc>
        <w:tc>
          <w:tcPr>
            <w:tcW w:w="13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R$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70,80</w:t>
            </w:r>
          </w:p>
        </w:tc>
      </w:tr>
      <w:tr>
        <w:trPr>
          <w:trHeight w:val="1187" w:hRule="atLeast"/>
        </w:trPr>
        <w:tc>
          <w:tcPr>
            <w:tcW w:w="10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09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4"/>
                <w:szCs w:val="24"/>
              </w:rPr>
              <w:t>Pilha AAA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 xml:space="preserve"> Tamanho: Palito , Modelo: Aaa , Características Adicionais: Não Recarregável , Sistema Eletroquímico: Alcalina , Tensão Nominal: 1,5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Und</w:t>
            </w:r>
          </w:p>
        </w:tc>
        <w:tc>
          <w:tcPr>
            <w:tcW w:w="141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684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R$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2,75</w:t>
            </w:r>
          </w:p>
        </w:tc>
        <w:tc>
          <w:tcPr>
            <w:tcW w:w="13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R$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44,00</w:t>
            </w:r>
          </w:p>
        </w:tc>
      </w:tr>
      <w:tr>
        <w:trPr>
          <w:trHeight w:val="1187" w:hRule="atLeast"/>
        </w:trPr>
        <w:tc>
          <w:tcPr>
            <w:tcW w:w="10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09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4"/>
                <w:szCs w:val="24"/>
              </w:rPr>
              <w:t xml:space="preserve">Pasta Arquivo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>Material: Papel Kraft , Tipo: Suspensa Pendular , Largura: 240 MM, Altura: 360 MM, Gramatura: 300 G/M2, Características Adicionais 2: Conforme Modelo Do Órgão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Und</w:t>
            </w:r>
          </w:p>
        </w:tc>
        <w:tc>
          <w:tcPr>
            <w:tcW w:w="141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684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R$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3,12</w:t>
            </w:r>
          </w:p>
        </w:tc>
        <w:tc>
          <w:tcPr>
            <w:tcW w:w="13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R$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156,00</w:t>
            </w:r>
          </w:p>
        </w:tc>
      </w:tr>
      <w:tr>
        <w:trPr>
          <w:trHeight w:val="1187" w:hRule="atLeast"/>
        </w:trPr>
        <w:tc>
          <w:tcPr>
            <w:tcW w:w="10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09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4"/>
                <w:szCs w:val="24"/>
              </w:rPr>
              <w:t xml:space="preserve">Cola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>Composição: Acetato De Polivinila , Cor: Branca , Aplicação: Papel, Madeira, Tecido, Couro , Características Adicionais: Bico Aplicador, Tampa Fixa, Atóxica, Lavável , Tipo: Líquido. Bisnaga 90 g.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Und</w:t>
            </w:r>
          </w:p>
        </w:tc>
        <w:tc>
          <w:tcPr>
            <w:tcW w:w="141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84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R$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1,84</w:t>
            </w:r>
          </w:p>
        </w:tc>
        <w:tc>
          <w:tcPr>
            <w:tcW w:w="13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R$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3,68</w:t>
            </w:r>
          </w:p>
        </w:tc>
      </w:tr>
      <w:tr>
        <w:trPr>
          <w:trHeight w:val="1187" w:hRule="atLeast"/>
        </w:trPr>
        <w:tc>
          <w:tcPr>
            <w:tcW w:w="10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09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4"/>
                <w:szCs w:val="24"/>
              </w:rPr>
              <w:t xml:space="preserve">Pasta Arquivo ( pasta plástica com trilho)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>Material: Plástico , Tipo: Simples , Largura: 245 MM, Altura: 340 MM, Cor: Cristal , Características Adicionais 2: Com Grampo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Und</w:t>
            </w:r>
          </w:p>
        </w:tc>
        <w:tc>
          <w:tcPr>
            <w:tcW w:w="141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684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R$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1,76</w:t>
            </w:r>
          </w:p>
        </w:tc>
        <w:tc>
          <w:tcPr>
            <w:tcW w:w="13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R$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52,80</w:t>
            </w:r>
          </w:p>
        </w:tc>
      </w:tr>
      <w:tr>
        <w:trPr>
          <w:trHeight w:val="730" w:hRule="atLeast"/>
        </w:trPr>
        <w:tc>
          <w:tcPr>
            <w:tcW w:w="10590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VALOR ESTIMADO TOTAL: R$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1.313,36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mil trezentos e treze reais e trinta e seis centavos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</w:tbl>
    <w:p>
      <w:pPr>
        <w:pStyle w:val="Normal"/>
        <w:suppressAutoHyphens w:val="false"/>
        <w:spacing w:lineRule="auto" w:line="276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uppressAutoHyphens w:val="false"/>
        <w:spacing w:lineRule="auto" w:line="276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1.2</w:t>
      </w:r>
      <w:bookmarkStart w:id="0" w:name="art23§711"/>
      <w:r>
        <w:rPr>
          <w:rFonts w:ascii="Times New Roman" w:hAnsi="Times New Roman"/>
          <w:iCs/>
          <w:sz w:val="24"/>
          <w:szCs w:val="24"/>
        </w:rPr>
        <w:t>. O objeto desta contratação não se enquadra como sendo de bem de luxo, conforme Portaria nº 14, de 06 de maio de 2024.</w:t>
      </w:r>
    </w:p>
    <w:p>
      <w:pPr>
        <w:pStyle w:val="Normal"/>
        <w:suppressAutoHyphens w:val="false"/>
        <w:spacing w:lineRule="auto" w:line="276"/>
        <w:ind w:left="-22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1.3 </w:t>
      </w:r>
      <w:r>
        <w:rPr>
          <w:rFonts w:ascii="Times New Roman" w:hAnsi="Times New Roman"/>
          <w:iCs/>
          <w:sz w:val="24"/>
          <w:szCs w:val="24"/>
        </w:rPr>
        <w:t>Os produtos propostos deverão, obrigatoriamente, atender as exigências de qualidade, observados os padrões e normas baixadas pelos órgãos competentes de controle e fiscalização de qualidade industrial.</w:t>
      </w:r>
    </w:p>
    <w:p>
      <w:pPr>
        <w:pStyle w:val="Normal"/>
        <w:suppressAutoHyphens w:val="false"/>
        <w:spacing w:lineRule="auto" w:line="276"/>
        <w:ind w:left="-22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1.4</w:t>
      </w:r>
      <w:r>
        <w:rPr>
          <w:rFonts w:ascii="Times New Roman" w:hAnsi="Times New Roman"/>
          <w:iCs/>
          <w:sz w:val="24"/>
          <w:szCs w:val="24"/>
        </w:rPr>
        <w:t xml:space="preserve">.  </w:t>
      </w:r>
      <w:r>
        <w:rPr>
          <w:rFonts w:cs="Arial" w:ascii="Times New Roman" w:hAnsi="Times New Roman"/>
          <w:bCs/>
          <w:iCs/>
          <w:color w:val="000000"/>
          <w:sz w:val="24"/>
          <w:szCs w:val="24"/>
        </w:rPr>
        <w:t xml:space="preserve">O prazo de vigência da aquisição será de 30 (trinta) </w:t>
      </w:r>
      <w:r>
        <w:rPr>
          <w:rFonts w:eastAsia="Times New Roman" w:cs="Times New Roman" w:ascii="Times New Roman" w:hAnsi="Times New Roman"/>
          <w:bCs/>
          <w:iCs/>
          <w:color w:val="000000"/>
          <w:sz w:val="24"/>
          <w:szCs w:val="24"/>
        </w:rPr>
        <w:t>dias</w:t>
      </w:r>
      <w:r>
        <w:rPr>
          <w:rFonts w:cs="Arial" w:ascii="Times New Roman" w:hAnsi="Times New Roman"/>
          <w:bCs/>
          <w:iCs/>
          <w:color w:val="000000"/>
          <w:sz w:val="24"/>
          <w:szCs w:val="24"/>
        </w:rPr>
        <w:t>, com entrega em até 10 (dez) dias contados da confirmação de recebimento da autorização de fornecimento emitida.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iCs/>
          <w:color w:val="000000"/>
          <w:sz w:val="24"/>
          <w:szCs w:val="24"/>
        </w:rPr>
        <w:t>1.5.</w:t>
      </w:r>
      <w:r>
        <w:rPr>
          <w:rFonts w:eastAsia="Times New Roman" w:cs="Times New Roman" w:ascii="Times New Roman" w:hAnsi="Times New Roman"/>
          <w:iCs/>
          <w:color w:val="000000"/>
          <w:sz w:val="24"/>
          <w:szCs w:val="24"/>
        </w:rPr>
        <w:t xml:space="preserve"> O custo estimado total da contratação é de </w:t>
      </w:r>
      <w:r>
        <w:rPr>
          <w:rFonts w:eastAsia="Times New Roman" w:cs="Times New Roman" w:ascii="Times New Roman" w:hAnsi="Times New Roman"/>
          <w:b w:val="false"/>
          <w:bCs w:val="false"/>
          <w:iCs/>
          <w:color w:val="000000"/>
          <w:sz w:val="24"/>
          <w:szCs w:val="24"/>
        </w:rPr>
        <w:t xml:space="preserve">R$ </w:t>
      </w:r>
      <w:r>
        <w:rPr>
          <w:rFonts w:eastAsia="Times New Roman" w:cs="Times New Roman" w:ascii="Times New Roman" w:hAnsi="Times New Roman"/>
          <w:b w:val="false"/>
          <w:bCs w:val="false"/>
          <w:iCs/>
          <w:color w:val="000000"/>
          <w:sz w:val="24"/>
          <w:szCs w:val="24"/>
        </w:rPr>
        <w:t>1.313,36</w:t>
      </w:r>
      <w:r>
        <w:rPr>
          <w:rFonts w:eastAsia="Times New Roman" w:cs="Times New Roman" w:ascii="Times New Roman" w:hAnsi="Times New Roman"/>
          <w:b w:val="false"/>
          <w:bCs w:val="false"/>
          <w:iCs/>
          <w:color w:val="000000"/>
          <w:sz w:val="24"/>
          <w:szCs w:val="24"/>
        </w:rPr>
        <w:t xml:space="preserve"> (</w:t>
      </w:r>
      <w:r>
        <w:rPr>
          <w:rFonts w:eastAsia="Times New Roman" w:cs="Times New Roman" w:ascii="Times New Roman" w:hAnsi="Times New Roman"/>
          <w:b w:val="false"/>
          <w:bCs w:val="false"/>
          <w:iCs/>
          <w:color w:val="000000"/>
          <w:sz w:val="24"/>
          <w:szCs w:val="24"/>
        </w:rPr>
        <w:t>mil trezentos e treze reais e trinta e seis centavos</w:t>
      </w:r>
      <w:r>
        <w:rPr>
          <w:rFonts w:eastAsia="Times New Roman" w:cs="Times New Roman" w:ascii="Times New Roman" w:hAnsi="Times New Roman"/>
          <w:b w:val="false"/>
          <w:bCs w:val="false"/>
          <w:iCs/>
          <w:color w:val="000000"/>
          <w:sz w:val="24"/>
          <w:szCs w:val="24"/>
        </w:rPr>
        <w:t>)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,</w:t>
      </w:r>
      <w:r>
        <w:rPr>
          <w:rFonts w:eastAsia="Times New Roman" w:cs="Times New Roman"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Cs/>
          <w:color w:val="000000"/>
          <w:sz w:val="24"/>
          <w:szCs w:val="24"/>
        </w:rPr>
        <w:t xml:space="preserve">conforme custos unitários </w:t>
      </w:r>
      <w:r>
        <w:rPr>
          <w:rFonts w:eastAsia="Times New Roman" w:cs="Times New Roman" w:ascii="Times New Roman" w:hAnsi="Times New Roman"/>
          <w:iCs/>
          <w:color w:val="000000"/>
          <w:sz w:val="24"/>
          <w:szCs w:val="24"/>
        </w:rPr>
        <w:t xml:space="preserve">da pesquisa realizada no Painel de Preços do Governo Federal </w:t>
      </w:r>
      <w:r>
        <w:rPr>
          <w:rFonts w:eastAsia="Times New Roman" w:cs="Times New Roman" w:ascii="Times New Roman" w:hAnsi="Times New Roman"/>
          <w:iCs/>
          <w:color w:val="000000"/>
          <w:sz w:val="24"/>
          <w:szCs w:val="24"/>
        </w:rPr>
        <w:t>e no quadro comparativo de preços simples em anexo.</w:t>
      </w:r>
    </w:p>
    <w:p>
      <w:pPr>
        <w:pStyle w:val="Nivel1"/>
        <w:spacing w:before="0" w:after="0"/>
        <w:rPr>
          <w:rFonts w:cs="Times New Roman"/>
          <w:bCs/>
        </w:rPr>
      </w:pPr>
      <w:bookmarkStart w:id="1" w:name="art23§73"/>
      <w:bookmarkStart w:id="2" w:name="art23§72"/>
      <w:bookmarkStart w:id="3" w:name="art23§71"/>
      <w:bookmarkStart w:id="4" w:name="art23§7"/>
      <w:bookmarkEnd w:id="1"/>
      <w:bookmarkEnd w:id="2"/>
      <w:bookmarkEnd w:id="3"/>
      <w:bookmarkEnd w:id="4"/>
      <w:r>
        <w:rPr>
          <w:rFonts w:cs="Times New Roman" w:ascii="Times New Roman" w:hAnsi="Times New Roman"/>
          <w:bCs/>
          <w:sz w:val="24"/>
          <w:szCs w:val="24"/>
        </w:rPr>
        <w:t>2. FUNDAMENTAÇÃO E DESCRIÇÃO DA NECESSIDADE DA CONTRATAÇÃO</w:t>
      </w:r>
    </w:p>
    <w:p>
      <w:pPr>
        <w:pStyle w:val="Normal"/>
        <w:spacing w:before="0"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2.1. </w:t>
      </w:r>
      <w:r>
        <w:rPr>
          <w:rFonts w:cs="Arial" w:ascii="Times New Roman" w:hAnsi="Times New Roman"/>
          <w:b w:val="false"/>
          <w:bCs w:val="false"/>
          <w:sz w:val="24"/>
          <w:szCs w:val="24"/>
        </w:rPr>
        <w:t xml:space="preserve">A aquisição de material de expediente e papelaria faz-se necessária para a manutenção da rotina administrativa do SGP-Prev, considerando a formalização de processos de aposentadoria, pensões, requerimentos administrativos, necessidade de impressão de relatórios diversos para apresentação aos Órgãos Colegiados, bem como organização do arquivo do SGP-Prev.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Tal contratação resultar-se-á benéfica e vantajosa, tendo em vista a economicidade trazida, quando comparada com a aquisição pelos servidores e consequente ressarcimento pelo Órgão.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cs="Times New Roman"/>
          <w:bCs/>
        </w:rPr>
      </w:pPr>
      <w:r>
        <w:rPr>
          <w:rFonts w:cs="Times New Roman" w:ascii="Times New Roman" w:hAnsi="Times New Roman"/>
          <w:bCs/>
          <w:sz w:val="24"/>
          <w:szCs w:val="24"/>
        </w:rPr>
        <w:t>A determinação das quantidades a serem adquiridas foi estipulada em função de consumo e utilização prováveis, cuja estimativa foi obtida mediante adequadas técnicas quantitativas. Adotou-se o consumo do período de 2023/2024 como referência para a estimar o consumo para o período 2024/2025, sem previsão de aumento na quantidade, que não excedeu o quantitativo mensal de utilização dos itens.</w:t>
      </w:r>
    </w:p>
    <w:p>
      <w:pPr>
        <w:pStyle w:val="Nivel1"/>
        <w:spacing w:before="309" w:after="0"/>
        <w:rPr>
          <w:bCs/>
        </w:rPr>
      </w:pPr>
      <w:r>
        <w:rPr>
          <w:rFonts w:ascii="Times New Roman" w:hAnsi="Times New Roman"/>
          <w:bCs/>
          <w:sz w:val="24"/>
          <w:szCs w:val="24"/>
        </w:rPr>
        <w:t>3. CLASSIFICAÇÃO DOS BENS COMUNS</w:t>
      </w:r>
    </w:p>
    <w:p>
      <w:pPr>
        <w:pStyle w:val="Normal"/>
        <w:spacing w:lineRule="auto" w:line="276" w:before="12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 xml:space="preserve">3.1 </w:t>
      </w:r>
      <w:r>
        <w:rPr>
          <w:rFonts w:cs="Arial" w:ascii="Times New Roman" w:hAnsi="Times New Roman"/>
          <w:color w:val="000000"/>
          <w:sz w:val="24"/>
          <w:szCs w:val="24"/>
        </w:rPr>
        <w:t>Trata-se de bens comuns a ser contratado mediante dispensa de licitação.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ivel1"/>
        <w:spacing w:before="0" w:after="0"/>
        <w:rPr>
          <w:rFonts w:cs="Times New Roman"/>
          <w:bCs/>
        </w:rPr>
      </w:pPr>
      <w:r>
        <w:rPr>
          <w:rFonts w:cs="Times New Roman" w:ascii="Times New Roman" w:hAnsi="Times New Roman"/>
          <w:bCs/>
          <w:sz w:val="24"/>
          <w:szCs w:val="24"/>
        </w:rPr>
        <w:t>4. REQUISITOS DA CONTRATAÇÃO</w:t>
      </w:r>
    </w:p>
    <w:p>
      <w:pPr>
        <w:pStyle w:val="Normal"/>
        <w:shd w:val="clear" w:color="auto" w:fill="FFFFFF"/>
        <w:suppressAutoHyphens w:val="false"/>
        <w:spacing w:lineRule="auto" w:line="276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eastAsia="Calibri" w:cs="Arial" w:ascii="Times New Roman" w:hAnsi="Times New Roman"/>
          <w:b/>
          <w:bCs/>
          <w:color w:val="000000"/>
          <w:sz w:val="24"/>
          <w:szCs w:val="24"/>
          <w:shd w:fill="FFFFFF" w:val="clear"/>
          <w:lang w:eastAsia="zh-CN"/>
        </w:rPr>
        <w:t xml:space="preserve">4.1. </w:t>
      </w:r>
      <w:r>
        <w:rPr>
          <w:rFonts w:eastAsia="Calibri" w:cs="Arial" w:ascii="Times New Roman" w:hAnsi="Times New Roman"/>
          <w:b w:val="false"/>
          <w:bCs w:val="false"/>
          <w:color w:val="000000"/>
          <w:sz w:val="24"/>
          <w:szCs w:val="24"/>
          <w:shd w:fill="FFFFFF" w:val="clear"/>
          <w:lang w:eastAsia="zh-CN"/>
        </w:rPr>
        <w:t>A contratação deverá observar os seguintes requisitos:</w:t>
      </w:r>
    </w:p>
    <w:p>
      <w:pPr>
        <w:pStyle w:val="Normal"/>
        <w:shd w:val="clear" w:color="auto" w:fill="FFFFFF"/>
        <w:suppressAutoHyphens w:val="false"/>
        <w:spacing w:lineRule="auto" w:line="276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4.2. </w:t>
      </w:r>
      <w:r>
        <w:rPr>
          <w:rFonts w:ascii="Times New Roman" w:hAnsi="Times New Roman"/>
          <w:b w:val="false"/>
          <w:bCs w:val="false"/>
          <w:sz w:val="24"/>
          <w:szCs w:val="24"/>
        </w:rPr>
        <w:t>Não haverá danos ao meio ambiente, uma vez que a aquisição não gerará tal problema para a Administração Pública.</w:t>
      </w:r>
    </w:p>
    <w:p>
      <w:pPr>
        <w:pStyle w:val="ListParagraph"/>
        <w:tabs>
          <w:tab w:val="clear" w:pos="708"/>
          <w:tab w:val="left" w:pos="450" w:leader="none"/>
        </w:tabs>
        <w:suppressAutoHyphens w:val="false"/>
        <w:ind w:left="0" w:hanging="0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4.3.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 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A aquisição se dará por dispensa de licitação (sendo sagrado vencedor, o fornecedor que apresentar o menor valor 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 xml:space="preserve">por item </w:t>
      </w:r>
      <w:r>
        <w:rPr>
          <w:rFonts w:ascii="Times New Roman" w:hAnsi="Times New Roman"/>
          <w:b w:val="false"/>
          <w:bCs w:val="false"/>
          <w:sz w:val="24"/>
          <w:szCs w:val="24"/>
        </w:rPr>
        <w:t>a ser adquirido), com entrega única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 xml:space="preserve">,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</w:rPr>
        <w:t>em até 10 (dez) dias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 xml:space="preserve"> após a emissão da autorização de fornecimento e a confirmação de recebimento pela empresa.</w:t>
      </w:r>
    </w:p>
    <w:p>
      <w:pPr>
        <w:pStyle w:val="ListParagraph"/>
        <w:tabs>
          <w:tab w:val="clear" w:pos="708"/>
          <w:tab w:val="left" w:pos="450" w:leader="none"/>
        </w:tabs>
        <w:suppressAutoHyphens w:val="false"/>
        <w:ind w:left="0" w:hanging="0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eastAsia="Calibri" w:ascii="Times New Roman" w:hAnsi="Times New Roman"/>
          <w:b/>
          <w:bCs/>
          <w:sz w:val="24"/>
          <w:szCs w:val="24"/>
          <w:shd w:fill="FFFFFF" w:val="clear"/>
        </w:rPr>
        <w:t xml:space="preserve">4.4. </w:t>
      </w:r>
      <w:r>
        <w:rPr>
          <w:rFonts w:eastAsia="Calibri" w:ascii="Times New Roman" w:hAnsi="Times New Roman"/>
          <w:b w:val="false"/>
          <w:bCs w:val="false"/>
          <w:sz w:val="24"/>
          <w:szCs w:val="24"/>
          <w:shd w:fill="FFFFFF" w:val="clear"/>
        </w:rPr>
        <w:t xml:space="preserve">A empresa fornecedora deverá entregar o objeto de qualidade de acordo com a especificação apresentada 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na autorização de fornecimento/execução, sem marcas e sem defeitos e </w:t>
      </w:r>
      <w:r>
        <w:rPr>
          <w:rFonts w:eastAsia="Calibri" w:ascii="Times New Roman" w:hAnsi="Times New Roman"/>
          <w:b w:val="false"/>
          <w:bCs w:val="false"/>
          <w:sz w:val="24"/>
          <w:szCs w:val="24"/>
          <w:shd w:fill="FFFFFF" w:val="clear"/>
        </w:rPr>
        <w:t>em perfeitas condições de uso de acordo com as normas técnicas e de segurança vigentes.</w:t>
      </w:r>
    </w:p>
    <w:p>
      <w:pPr>
        <w:pStyle w:val="ListParagraph"/>
        <w:shd w:val="clear" w:color="auto" w:fill="FFFFFF"/>
        <w:suppressAutoHyphens w:val="false"/>
        <w:ind w:left="0" w:hanging="0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shd w:fill="FFFFFF" w:val="clear"/>
        </w:rPr>
        <w:t xml:space="preserve">4.5. </w:t>
      </w:r>
      <w:r>
        <w:rPr>
          <w:rFonts w:ascii="Times New Roman" w:hAnsi="Times New Roman"/>
          <w:b w:val="false"/>
          <w:bCs w:val="false"/>
          <w:sz w:val="24"/>
          <w:szCs w:val="24"/>
          <w:shd w:fill="FFFFFF" w:val="clear"/>
        </w:rPr>
        <w:t>A contratação deverá obedecer, no que couber, ao disposto na Lei nº 14.133/2021 e suas alterações.</w:t>
      </w:r>
    </w:p>
    <w:p>
      <w:pPr>
        <w:pStyle w:val="ListParagraph"/>
        <w:tabs>
          <w:tab w:val="clear" w:pos="708"/>
          <w:tab w:val="left" w:pos="567" w:leader="none"/>
        </w:tabs>
        <w:ind w:left="0" w:hanging="0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4.6. 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A empresa 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ganhadora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deverá entregar 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os itens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na data estipulada na autorização de fornecimento/execução emitida pelo Departamento de Compras e Contratos.</w:t>
      </w:r>
    </w:p>
    <w:p>
      <w:pPr>
        <w:pStyle w:val="ListParagraph"/>
        <w:ind w:left="0" w:hanging="0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4.7. </w:t>
      </w:r>
      <w:r>
        <w:rPr>
          <w:rFonts w:ascii="Times New Roman" w:hAnsi="Times New Roman"/>
          <w:b w:val="false"/>
          <w:bCs w:val="false"/>
          <w:sz w:val="24"/>
          <w:szCs w:val="24"/>
        </w:rPr>
        <w:t>Não será admitida a subcontratação do objeto contratual.</w:t>
      </w:r>
    </w:p>
    <w:p>
      <w:pPr>
        <w:pStyle w:val="Normal"/>
        <w:tabs>
          <w:tab w:val="clear" w:pos="708"/>
          <w:tab w:val="left" w:pos="133" w:leader="none"/>
        </w:tabs>
        <w:spacing w:lineRule="auto" w:line="276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4.8. </w:t>
      </w:r>
      <w:r>
        <w:rPr>
          <w:rFonts w:ascii="Times New Roman" w:hAnsi="Times New Roman"/>
          <w:b w:val="false"/>
          <w:bCs w:val="false"/>
          <w:sz w:val="24"/>
          <w:szCs w:val="24"/>
        </w:rPr>
        <w:t>Não haverá exigência da garantia da contratação dos arts. 96 e seguintes da Lei nº 14.133/21.</w:t>
      </w:r>
    </w:p>
    <w:p>
      <w:pPr>
        <w:pStyle w:val="Normal"/>
        <w:tabs>
          <w:tab w:val="clear" w:pos="708"/>
          <w:tab w:val="left" w:pos="133" w:leader="none"/>
        </w:tabs>
        <w:spacing w:lineRule="auto" w:line="276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4.9. </w:t>
      </w:r>
      <w:r>
        <w:rPr>
          <w:rFonts w:ascii="Times New Roman" w:hAnsi="Times New Roman"/>
          <w:b w:val="false"/>
          <w:bCs w:val="false"/>
          <w:sz w:val="24"/>
          <w:szCs w:val="24"/>
        </w:rPr>
        <w:t>Não haverá reajustamento de preços dos produtos adquiridos.</w:t>
      </w:r>
    </w:p>
    <w:p>
      <w:pPr>
        <w:pStyle w:val="Normal"/>
        <w:spacing w:lineRule="auto" w:line="276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eastAsia="Arial" w:cs="Arial" w:ascii="Times New Roman" w:hAnsi="Times New Roman"/>
          <w:b/>
          <w:bCs/>
          <w:sz w:val="24"/>
          <w:szCs w:val="24"/>
        </w:rPr>
        <w:t xml:space="preserve">4.10. </w:t>
      </w:r>
      <w:r>
        <w:rPr>
          <w:rFonts w:eastAsia="Arial" w:cs="Arial" w:ascii="Times New Roman" w:hAnsi="Times New Roman"/>
          <w:b w:val="false"/>
          <w:bCs w:val="false"/>
          <w:sz w:val="24"/>
          <w:szCs w:val="24"/>
        </w:rPr>
        <w:t>No valor unitário de cada item, deverá estar incluso os valores necessários com insumos, logística e mão de obra.</w:t>
      </w:r>
    </w:p>
    <w:p>
      <w:pPr>
        <w:pStyle w:val="Normal"/>
        <w:tabs>
          <w:tab w:val="clear" w:pos="708"/>
          <w:tab w:val="left" w:pos="133" w:leader="none"/>
        </w:tabs>
        <w:spacing w:lineRule="auto" w:line="276"/>
        <w:jc w:val="both"/>
        <w:rPr>
          <w:rFonts w:ascii="Times New Roman" w:hAnsi="Times New Roman" w:eastAsia="Arial" w:cs="Arial"/>
          <w:b/>
          <w:b/>
          <w:bCs/>
          <w:sz w:val="24"/>
          <w:szCs w:val="24"/>
        </w:rPr>
      </w:pPr>
      <w:r>
        <w:rPr>
          <w:rFonts w:eastAsia="Arial" w:cs="Arial" w:ascii="Times New Roman" w:hAnsi="Times New Roman"/>
          <w:b/>
          <w:bCs/>
          <w:sz w:val="24"/>
          <w:szCs w:val="24"/>
        </w:rPr>
      </w:r>
    </w:p>
    <w:p>
      <w:pPr>
        <w:pStyle w:val="Nivel1"/>
        <w:suppressAutoHyphens w:val="true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ENTREGA E CRITÉRIOS DE ACEITAÇÃO DO OBJETO.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 xml:space="preserve">5.1. </w:t>
      </w:r>
      <w:r>
        <w:rPr>
          <w:rFonts w:cs="Arial" w:ascii="Times New Roman" w:hAnsi="Times New Roman"/>
          <w:sz w:val="24"/>
          <w:szCs w:val="24"/>
        </w:rPr>
        <w:t xml:space="preserve">O fornecedor deverá entregar as mercadorias de acordo com o estabelecido </w:t>
      </w:r>
      <w:r>
        <w:rPr>
          <w:rFonts w:cs="Arial" w:ascii="Times New Roman" w:hAnsi="Times New Roman"/>
          <w:sz w:val="24"/>
          <w:szCs w:val="24"/>
        </w:rPr>
        <w:t xml:space="preserve">na </w:t>
      </w:r>
      <w:r>
        <w:rPr>
          <w:rFonts w:cs="Arial" w:ascii="Times New Roman" w:hAnsi="Times New Roman"/>
          <w:sz w:val="24"/>
          <w:szCs w:val="24"/>
        </w:rPr>
        <w:t>Autorização de Fornecimento.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5.2</w:t>
      </w:r>
      <w:r>
        <w:rPr>
          <w:rFonts w:cs="Arial" w:ascii="Times New Roman" w:hAnsi="Times New Roman"/>
          <w:color w:val="000000"/>
          <w:sz w:val="24"/>
          <w:szCs w:val="24"/>
        </w:rPr>
        <w:t>. Os materiais deverão ser entregues no SGP-Prev, no seguinte endereço:</w:t>
      </w:r>
    </w:p>
    <w:p>
      <w:pPr>
        <w:pStyle w:val="Normal"/>
        <w:spacing w:lineRule="auto" w:line="276"/>
        <w:jc w:val="both"/>
        <w:rPr>
          <w:rFonts w:cs="Arial"/>
          <w:color w:val="000000"/>
        </w:rPr>
      </w:pPr>
      <w:r>
        <w:rPr>
          <w:rFonts w:cs="Arial" w:ascii="Times New Roman" w:hAnsi="Times New Roman"/>
          <w:color w:val="000000"/>
          <w:sz w:val="24"/>
          <w:szCs w:val="24"/>
        </w:rPr>
        <w:t>-Av. Bertolo Malacarne, 168, Sala 02 – A, B e C, Bairro Glória, São Gabriel da Palha, CEP - 29780-000.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color w:val="000000"/>
          <w:sz w:val="24"/>
          <w:szCs w:val="24"/>
        </w:rPr>
        <w:t xml:space="preserve">Tel.: </w:t>
      </w:r>
      <w:r>
        <w:rPr>
          <w:rFonts w:cs="Arial" w:ascii="Times New Roman" w:hAnsi="Times New Roman"/>
          <w:color w:val="000000"/>
          <w:sz w:val="24"/>
          <w:szCs w:val="24"/>
        </w:rPr>
        <w:t>27 3727-1697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color w:val="000000"/>
          <w:sz w:val="24"/>
          <w:szCs w:val="24"/>
        </w:rPr>
        <w:t xml:space="preserve">E-mail: </w:t>
      </w:r>
      <w:r>
        <w:rPr>
          <w:rFonts w:cs="Arial" w:ascii="Times New Roman" w:hAnsi="Times New Roman"/>
          <w:b w:val="false"/>
          <w:bCs w:val="false"/>
          <w:color w:val="000000"/>
          <w:sz w:val="24"/>
          <w:szCs w:val="24"/>
        </w:rPr>
        <w:t>saogabrielprev@gmail.com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color w:val="000000"/>
          <w:sz w:val="24"/>
          <w:szCs w:val="24"/>
        </w:rPr>
        <w:t xml:space="preserve">Responsável: </w:t>
      </w:r>
      <w:r>
        <w:rPr>
          <w:rFonts w:cs="Arial" w:ascii="Times New Roman" w:hAnsi="Times New Roman"/>
          <w:b w:val="false"/>
          <w:bCs w:val="false"/>
          <w:color w:val="000000"/>
          <w:sz w:val="24"/>
          <w:szCs w:val="24"/>
        </w:rPr>
        <w:t>Instituto de Previdência dos Servidores de São Gabriel da Palha – SGP-Prev.</w:t>
      </w:r>
    </w:p>
    <w:p>
      <w:pPr>
        <w:pStyle w:val="Nivel2"/>
        <w:spacing w:before="0" w:after="0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iCs/>
          <w:color w:val="auto"/>
          <w:sz w:val="24"/>
          <w:szCs w:val="24"/>
        </w:rPr>
        <w:t xml:space="preserve">5.3. </w:t>
      </w:r>
      <w:r>
        <w:rPr>
          <w:rFonts w:cs="Times New Roman" w:ascii="Times New Roman" w:hAnsi="Times New Roman"/>
          <w:b w:val="false"/>
          <w:bCs w:val="false"/>
          <w:iCs/>
          <w:color w:val="auto"/>
          <w:sz w:val="24"/>
          <w:szCs w:val="24"/>
        </w:rPr>
        <w:t>Caso não seja possível a entrega na data assinalada, a empresa deverá comunicar as razões respectivas com pelo menos 0</w:t>
      </w:r>
      <w:r>
        <w:rPr>
          <w:rFonts w:cs="Times New Roman" w:ascii="Times New Roman" w:hAnsi="Times New Roman"/>
          <w:b w:val="false"/>
          <w:bCs w:val="false"/>
          <w:iCs/>
          <w:color w:val="auto"/>
          <w:sz w:val="24"/>
          <w:szCs w:val="24"/>
        </w:rPr>
        <w:t>3</w:t>
      </w:r>
      <w:r>
        <w:rPr>
          <w:rFonts w:cs="Times New Roman" w:ascii="Times New Roman" w:hAnsi="Times New Roman"/>
          <w:b w:val="false"/>
          <w:bCs w:val="false"/>
          <w:iCs/>
          <w:color w:val="auto"/>
          <w:sz w:val="24"/>
          <w:szCs w:val="24"/>
        </w:rPr>
        <w:t xml:space="preserve"> (</w:t>
      </w:r>
      <w:r>
        <w:rPr>
          <w:rFonts w:cs="Times New Roman" w:ascii="Times New Roman" w:hAnsi="Times New Roman"/>
          <w:b w:val="false"/>
          <w:bCs w:val="false"/>
          <w:iCs/>
          <w:color w:val="auto"/>
          <w:sz w:val="24"/>
          <w:szCs w:val="24"/>
        </w:rPr>
        <w:t>três</w:t>
      </w:r>
      <w:r>
        <w:rPr>
          <w:rFonts w:cs="Times New Roman" w:ascii="Times New Roman" w:hAnsi="Times New Roman"/>
          <w:b w:val="false"/>
          <w:bCs w:val="false"/>
          <w:iCs/>
          <w:color w:val="auto"/>
          <w:sz w:val="24"/>
          <w:szCs w:val="24"/>
        </w:rPr>
        <w:t>) dias de antecedência para que qualquer pleito de prorrogação de prazo seja analisado, ressalvadas situações de caso fortuito e força maior.</w:t>
      </w:r>
    </w:p>
    <w:p>
      <w:pPr>
        <w:pStyle w:val="Nivel2"/>
        <w:spacing w:before="0" w:after="0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auto"/>
          <w:sz w:val="24"/>
          <w:szCs w:val="24"/>
        </w:rPr>
        <w:t xml:space="preserve">5.4. </w:t>
      </w: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</w:rPr>
        <w:t xml:space="preserve">Os itens </w:t>
      </w: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</w:rPr>
        <w:t xml:space="preserve">poderão </w:t>
      </w: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</w:rPr>
        <w:t>ser recebidos p</w:t>
      </w: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</w:rPr>
        <w:t xml:space="preserve">or qualquer servidor do SGP-Prev, cabendo ao Diretor Administrativo-Financeiro a verificação </w:t>
      </w: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</w:rPr>
        <w:t>de sua conformidade com as especificações constantes neste Termo de Referência e na proposta.</w:t>
      </w:r>
    </w:p>
    <w:p>
      <w:pPr>
        <w:pStyle w:val="Nivel2"/>
        <w:spacing w:before="0" w:after="0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auto"/>
          <w:sz w:val="24"/>
          <w:szCs w:val="24"/>
        </w:rPr>
        <w:t>5.</w:t>
      </w:r>
      <w:r>
        <w:rPr>
          <w:rFonts w:cs="Times New Roman" w:ascii="Times New Roman" w:hAnsi="Times New Roman"/>
          <w:b/>
          <w:bCs/>
          <w:color w:val="auto"/>
          <w:sz w:val="24"/>
          <w:szCs w:val="24"/>
        </w:rPr>
        <w:t>5</w:t>
      </w:r>
      <w:r>
        <w:rPr>
          <w:rFonts w:cs="Times New Roman" w:ascii="Times New Roman" w:hAnsi="Times New Roman"/>
          <w:b/>
          <w:bCs/>
          <w:color w:val="auto"/>
          <w:sz w:val="24"/>
          <w:szCs w:val="24"/>
        </w:rPr>
        <w:t xml:space="preserve">. </w:t>
      </w: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</w:rPr>
        <w:t xml:space="preserve">O item poderá ser rejeitado, no todo ou em parte, quando em desacordo com as especificações constantes </w:t>
      </w: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</w:rPr>
        <w:t xml:space="preserve">deste </w:t>
      </w: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</w:rPr>
        <w:t xml:space="preserve">Termo de Referência e na respectiva Autorização de Fornecimento, devendo ser substituído imediatamente, no momento da constatação pelo demandante, às custas </w:t>
      </w: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</w:rPr>
        <w:t>do demandado</w:t>
      </w: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</w:rPr>
        <w:t>.</w:t>
      </w:r>
    </w:p>
    <w:p>
      <w:pPr>
        <w:pStyle w:val="ListParagraph"/>
        <w:ind w:left="0" w:hanging="0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5.</w:t>
      </w:r>
      <w:r>
        <w:rPr>
          <w:rFonts w:ascii="Times New Roman" w:hAnsi="Times New Roman"/>
          <w:b/>
          <w:bCs/>
          <w:sz w:val="24"/>
          <w:szCs w:val="24"/>
        </w:rPr>
        <w:t>6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O recebimento provisório ou definitivo não excluirá a responsabilidade 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da contratada pelos prejuízos resultantes da incorreta execução do contrato.</w:t>
      </w:r>
    </w:p>
    <w:p>
      <w:pPr>
        <w:pStyle w:val="ListParagraph"/>
        <w:ind w:left="0" w:hanging="0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iCs/>
          <w:color w:val="auto"/>
          <w:sz w:val="24"/>
          <w:szCs w:val="24"/>
        </w:rPr>
        <w:t>5.</w:t>
      </w:r>
      <w:r>
        <w:rPr>
          <w:rFonts w:cs="Times New Roman" w:ascii="Times New Roman" w:hAnsi="Times New Roman"/>
          <w:b/>
          <w:bCs/>
          <w:iCs/>
          <w:color w:val="auto"/>
          <w:sz w:val="24"/>
          <w:szCs w:val="24"/>
        </w:rPr>
        <w:t>7</w:t>
      </w:r>
      <w:r>
        <w:rPr>
          <w:rFonts w:cs="Times New Roman" w:ascii="Times New Roman" w:hAnsi="Times New Roman"/>
          <w:b/>
          <w:bCs/>
          <w:iCs/>
          <w:color w:val="auto"/>
          <w:sz w:val="24"/>
          <w:szCs w:val="24"/>
        </w:rPr>
        <w:t xml:space="preserve">. </w:t>
      </w:r>
      <w:r>
        <w:rPr>
          <w:rFonts w:cs="Times New Roman" w:ascii="Times New Roman" w:hAnsi="Times New Roman"/>
          <w:b w:val="false"/>
          <w:bCs w:val="false"/>
          <w:iCs/>
          <w:color w:val="auto"/>
          <w:sz w:val="24"/>
          <w:szCs w:val="24"/>
        </w:rPr>
        <w:t>No caso de recusa da entrega do produto pelo fornecedor, a Administração Pública adotará as providências cabíveis, de cordo com a legislação aplicável, visando sanar problemas porventura ocorridos.</w:t>
      </w:r>
    </w:p>
    <w:p>
      <w:pPr>
        <w:pStyle w:val="ListParagraph"/>
        <w:ind w:left="0" w:hanging="0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iCs/>
          <w:color w:val="auto"/>
          <w:sz w:val="24"/>
          <w:szCs w:val="24"/>
        </w:rPr>
        <w:t>5.</w:t>
      </w:r>
      <w:r>
        <w:rPr>
          <w:rFonts w:cs="Times New Roman" w:ascii="Times New Roman" w:hAnsi="Times New Roman"/>
          <w:b/>
          <w:bCs/>
          <w:iCs/>
          <w:color w:val="auto"/>
          <w:sz w:val="24"/>
          <w:szCs w:val="24"/>
        </w:rPr>
        <w:t>8</w:t>
      </w:r>
      <w:r>
        <w:rPr>
          <w:rFonts w:cs="Times New Roman" w:ascii="Times New Roman" w:hAnsi="Times New Roman"/>
          <w:b/>
          <w:bCs/>
          <w:iCs/>
          <w:color w:val="auto"/>
          <w:sz w:val="24"/>
          <w:szCs w:val="24"/>
        </w:rPr>
        <w:t xml:space="preserve">. </w:t>
      </w:r>
      <w:r>
        <w:rPr>
          <w:rFonts w:cs="Times New Roman" w:ascii="Times New Roman" w:hAnsi="Times New Roman"/>
          <w:b w:val="false"/>
          <w:bCs w:val="false"/>
          <w:iCs/>
          <w:color w:val="auto"/>
          <w:sz w:val="24"/>
          <w:szCs w:val="24"/>
        </w:rPr>
        <w:t>Não se verifica contratações correlatas ou interdependentes.</w:t>
      </w:r>
    </w:p>
    <w:p>
      <w:pPr>
        <w:pStyle w:val="ListParagraph"/>
        <w:ind w:left="0" w:hanging="0"/>
        <w:jc w:val="both"/>
        <w:rPr>
          <w:rFonts w:cs="Times New Roman"/>
          <w:b w:val="false"/>
          <w:b w:val="false"/>
          <w:bCs w:val="false"/>
          <w:iCs/>
          <w:color w:val="auto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</w:t>
      </w:r>
      <w:r>
        <w:rPr>
          <w:rFonts w:cs="Arial" w:ascii="Times New Roman" w:hAnsi="Times New Roman"/>
          <w:b/>
          <w:bCs/>
          <w:sz w:val="24"/>
          <w:szCs w:val="24"/>
        </w:rPr>
        <w:t xml:space="preserve"> DEFINIÇÃO E JUSTIFICATIVA DE CARACTERIZAÇÃO DO OBJETO E PRAZOS DA CONTRATAÇÃO</w:t>
      </w:r>
    </w:p>
    <w:p>
      <w:pPr>
        <w:pStyle w:val="Normal"/>
        <w:spacing w:lineRule="auto" w:line="276"/>
        <w:jc w:val="both"/>
        <w:rPr>
          <w:rFonts w:cs="Arial"/>
          <w:b/>
          <w:b/>
          <w:bCs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sz w:val="24"/>
          <w:szCs w:val="24"/>
        </w:rPr>
        <w:t xml:space="preserve">6.1. </w:t>
      </w:r>
      <w:r>
        <w:rPr>
          <w:rFonts w:cs="Arial" w:ascii="Times New Roman" w:hAnsi="Times New Roman"/>
          <w:sz w:val="24"/>
          <w:szCs w:val="24"/>
        </w:rPr>
        <w:t>A especificação</w:t>
      </w:r>
      <w:r>
        <w:rPr>
          <w:rFonts w:cs="Arial" w:ascii="Times New Roman" w:hAnsi="Times New Roman"/>
          <w:sz w:val="24"/>
          <w:szCs w:val="24"/>
          <w:lang w:eastAsia="zh-CN"/>
        </w:rPr>
        <w:t xml:space="preserve"> dos itens </w:t>
      </w:r>
      <w:r>
        <w:rPr>
          <w:rFonts w:cs="Arial" w:ascii="Times New Roman" w:hAnsi="Times New Roman"/>
          <w:sz w:val="24"/>
          <w:szCs w:val="24"/>
        </w:rPr>
        <w:t xml:space="preserve">contidos no </w:t>
      </w:r>
      <w:r>
        <w:rPr>
          <w:rFonts w:cs="Arial" w:ascii="Times New Roman" w:hAnsi="Times New Roman"/>
          <w:sz w:val="24"/>
          <w:szCs w:val="24"/>
        </w:rPr>
        <w:t xml:space="preserve">DFD </w:t>
      </w:r>
      <w:r>
        <w:rPr>
          <w:rFonts w:cs="Arial" w:ascii="Times New Roman" w:hAnsi="Times New Roman"/>
          <w:sz w:val="24"/>
          <w:szCs w:val="24"/>
        </w:rPr>
        <w:t>e neste Termo de Referência, foi estudada para atender a todas as necessidades apresentadas, garantindo a qualidade do</w:t>
      </w:r>
      <w:r>
        <w:rPr>
          <w:rFonts w:cs="Arial" w:ascii="Times New Roman" w:hAnsi="Times New Roman"/>
          <w:sz w:val="24"/>
          <w:szCs w:val="24"/>
        </w:rPr>
        <w:t>s</w:t>
      </w:r>
      <w:r>
        <w:rPr>
          <w:rFonts w:cs="Arial" w:ascii="Times New Roman" w:hAnsi="Times New Roman"/>
          <w:sz w:val="24"/>
          <w:szCs w:val="24"/>
        </w:rPr>
        <w:t xml:space="preserve"> produto</w:t>
      </w:r>
      <w:r>
        <w:rPr>
          <w:rFonts w:cs="Arial" w:ascii="Times New Roman" w:hAnsi="Times New Roman"/>
          <w:sz w:val="24"/>
          <w:szCs w:val="24"/>
        </w:rPr>
        <w:t>s</w:t>
      </w:r>
      <w:r>
        <w:rPr>
          <w:rFonts w:cs="Arial" w:ascii="Times New Roman" w:hAnsi="Times New Roman"/>
          <w:sz w:val="24"/>
          <w:szCs w:val="24"/>
        </w:rPr>
        <w:t xml:space="preserve"> ofertado</w:t>
      </w:r>
      <w:r>
        <w:rPr>
          <w:rFonts w:cs="Arial" w:ascii="Times New Roman" w:hAnsi="Times New Roman"/>
          <w:sz w:val="24"/>
          <w:szCs w:val="24"/>
        </w:rPr>
        <w:t>s</w:t>
      </w:r>
      <w:r>
        <w:rPr>
          <w:rFonts w:cs="Arial" w:ascii="Times New Roman" w:hAnsi="Times New Roman"/>
          <w:sz w:val="24"/>
          <w:szCs w:val="24"/>
        </w:rPr>
        <w:t>, facilidade na participação de empresas ofertantes, atendimento das necessidades d</w:t>
      </w:r>
      <w:r>
        <w:rPr>
          <w:rFonts w:cs="Arial" w:ascii="Times New Roman" w:hAnsi="Times New Roman"/>
          <w:sz w:val="24"/>
          <w:szCs w:val="24"/>
        </w:rPr>
        <w:t xml:space="preserve">o SGP-Prev </w:t>
      </w:r>
      <w:r>
        <w:rPr>
          <w:rFonts w:cs="Arial" w:ascii="Times New Roman" w:hAnsi="Times New Roman"/>
          <w:sz w:val="24"/>
          <w:szCs w:val="24"/>
        </w:rPr>
        <w:t>e agilidade na entrega do fornecedor.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iCs/>
          <w:color w:val="auto"/>
          <w:sz w:val="24"/>
          <w:szCs w:val="24"/>
          <w:lang w:eastAsia="zh-CN"/>
        </w:rPr>
        <w:t>6.2.</w:t>
      </w:r>
      <w:r>
        <w:rPr>
          <w:rFonts w:cs="Arial" w:ascii="Times New Roman" w:hAnsi="Times New Roman"/>
          <w:b w:val="false"/>
          <w:bCs w:val="false"/>
          <w:iCs/>
          <w:color w:val="auto"/>
          <w:sz w:val="24"/>
          <w:szCs w:val="24"/>
          <w:lang w:eastAsia="zh-CN"/>
        </w:rPr>
        <w:t xml:space="preserve"> Não será necessário a celebração de contrato.</w:t>
      </w:r>
    </w:p>
    <w:p>
      <w:pPr>
        <w:pStyle w:val="Normal"/>
        <w:spacing w:lineRule="auto" w:line="276"/>
        <w:jc w:val="both"/>
        <w:rPr>
          <w:rFonts w:cs="Arial"/>
          <w:b w:val="false"/>
          <w:b w:val="false"/>
          <w:bCs w:val="false"/>
          <w:iCs/>
          <w:color w:val="auto"/>
          <w:lang w:eastAsia="zh-CN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cs="Arial" w:ascii="Times New Roman" w:hAnsi="Times New Roman"/>
          <w:color w:val="000000"/>
          <w:sz w:val="24"/>
          <w:szCs w:val="24"/>
        </w:rPr>
      </w:r>
      <w:bookmarkStart w:id="5" w:name="page68R_mcid1"/>
      <w:bookmarkStart w:id="6" w:name="page68R_mcid1"/>
      <w:bookmarkEnd w:id="6"/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7</w:t>
      </w: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. OBRIGAÇÕES DA CONTRATANTE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7</w:t>
      </w:r>
      <w:r>
        <w:rPr>
          <w:rFonts w:cs="Arial" w:ascii="Times New Roman" w:hAnsi="Times New Roman"/>
          <w:b/>
          <w:bCs/>
          <w:color w:val="000000"/>
          <w:sz w:val="24"/>
          <w:szCs w:val="24"/>
        </w:rPr>
        <w:t xml:space="preserve">.1. </w:t>
      </w:r>
      <w:r>
        <w:rPr>
          <w:rFonts w:cs="Arial" w:ascii="Times New Roman" w:hAnsi="Times New Roman"/>
          <w:color w:val="000000"/>
          <w:sz w:val="24"/>
          <w:szCs w:val="24"/>
        </w:rPr>
        <w:t>Receber os itens no prazo e condições estabelecidas n</w:t>
      </w:r>
      <w:r>
        <w:rPr>
          <w:rFonts w:cs="Arial" w:ascii="Times New Roman" w:hAnsi="Times New Roman"/>
          <w:color w:val="000000"/>
          <w:sz w:val="24"/>
          <w:szCs w:val="24"/>
        </w:rPr>
        <w:t>a Autorização de Fornecimento</w:t>
      </w:r>
      <w:r>
        <w:rPr>
          <w:rFonts w:cs="Arial" w:ascii="Times New Roman" w:hAnsi="Times New Roman"/>
          <w:color w:val="000000"/>
          <w:sz w:val="24"/>
          <w:szCs w:val="24"/>
        </w:rPr>
        <w:t>, neste Termo de Referência e seus anexos.</w:t>
      </w:r>
    </w:p>
    <w:p>
      <w:pPr>
        <w:pStyle w:val="Normal"/>
        <w:spacing w:lineRule="auto" w:line="276" w:before="57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7</w:t>
      </w:r>
      <w:r>
        <w:rPr>
          <w:rFonts w:cs="Arial" w:ascii="Times New Roman" w:hAnsi="Times New Roman"/>
          <w:b/>
          <w:bCs/>
          <w:color w:val="000000"/>
          <w:sz w:val="24"/>
          <w:szCs w:val="24"/>
        </w:rPr>
        <w:t xml:space="preserve">.2. </w:t>
      </w:r>
      <w:bookmarkStart w:id="7" w:name="page68R_mcid17"/>
      <w:r>
        <w:rPr>
          <w:rFonts w:cs="Arial" w:ascii="Times New Roman" w:hAnsi="Times New Roman"/>
          <w:color w:val="000000"/>
          <w:sz w:val="24"/>
          <w:szCs w:val="24"/>
        </w:rPr>
        <w:t>Verificar minuciosamente, no prazo fixado, a conformidade dos bens recebidos provisoriamente com as especificações constantes neste Termo de Referência e da proposta, para fins de aceitação e recebimento definitivo.</w:t>
      </w:r>
    </w:p>
    <w:p>
      <w:pPr>
        <w:pStyle w:val="Normal"/>
        <w:spacing w:lineRule="auto" w:line="276" w:before="57" w:after="57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7</w:t>
      </w: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.3.</w:t>
      </w:r>
      <w:r>
        <w:rPr>
          <w:rFonts w:cs="Arial" w:ascii="Times New Roman" w:hAnsi="Times New Roman"/>
          <w:color w:val="000000"/>
          <w:sz w:val="24"/>
          <w:szCs w:val="24"/>
        </w:rPr>
        <w:t xml:space="preserve"> Comunicar à Contratada, por escrito, sobre imperfeições, falhas ou irregularidades verificadas no objeto fornecido, para que seja substituído, reparado ou corrigido.</w:t>
      </w:r>
    </w:p>
    <w:p>
      <w:pPr>
        <w:pStyle w:val="Normal"/>
        <w:spacing w:lineRule="auto" w:line="276" w:before="57" w:after="57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7</w:t>
      </w: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.4.</w:t>
      </w:r>
      <w:r>
        <w:rPr>
          <w:rFonts w:cs="Arial" w:ascii="Times New Roman" w:hAnsi="Times New Roman"/>
          <w:color w:val="000000"/>
          <w:sz w:val="24"/>
          <w:szCs w:val="24"/>
        </w:rPr>
        <w:t xml:space="preserve"> Acompanhar e fiscalizar o cumprimento das obrigações da Contratada, através de comissão/servidor especialmente designado.</w:t>
      </w:r>
    </w:p>
    <w:p>
      <w:pPr>
        <w:pStyle w:val="Normal"/>
        <w:spacing w:lineRule="auto" w:line="276" w:before="57" w:after="57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7</w:t>
      </w: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.5.</w:t>
      </w:r>
      <w:r>
        <w:rPr>
          <w:rFonts w:cs="Arial" w:ascii="Times New Roman" w:hAnsi="Times New Roman"/>
          <w:color w:val="000000"/>
          <w:sz w:val="24"/>
          <w:szCs w:val="24"/>
        </w:rPr>
        <w:t xml:space="preserve"> Efetuar o pagamento à Contratada no valor correspondente ao fornecimento dos objetos, no prazo e forma estabelecidos n</w:t>
      </w:r>
      <w:r>
        <w:rPr>
          <w:rFonts w:cs="Arial" w:ascii="Times New Roman" w:hAnsi="Times New Roman"/>
          <w:color w:val="000000"/>
          <w:sz w:val="24"/>
          <w:szCs w:val="24"/>
        </w:rPr>
        <w:t>a Autorização de Fornecimento</w:t>
      </w:r>
      <w:r>
        <w:rPr>
          <w:rFonts w:cs="Arial" w:ascii="Times New Roman" w:hAnsi="Times New Roman"/>
          <w:color w:val="000000"/>
          <w:sz w:val="24"/>
          <w:szCs w:val="24"/>
        </w:rPr>
        <w:t>, neste Temo de Referência e seus anexos.</w:t>
      </w:r>
    </w:p>
    <w:p>
      <w:pPr>
        <w:pStyle w:val="Normal"/>
        <w:spacing w:lineRule="auto" w:line="276" w:before="57" w:after="57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7</w:t>
      </w: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.6.</w:t>
      </w:r>
      <w:r>
        <w:rPr>
          <w:rFonts w:cs="Arial" w:ascii="Times New Roman" w:hAnsi="Times New Roman"/>
          <w:color w:val="000000"/>
          <w:sz w:val="24"/>
          <w:szCs w:val="24"/>
        </w:rPr>
        <w:t xml:space="preserve"> A Autarquia não responderá por quaisquer compromissos assumidos pela Contratada com terceiros, ainda que vinculados à execução da presente aquisição, bem como por qualquer dano causado a terceiros em decorrência de ato da Contratada, de seus empregados, prepostos ou subordinados.</w:t>
      </w:r>
    </w:p>
    <w:p>
      <w:pPr>
        <w:pStyle w:val="Normal"/>
        <w:spacing w:lineRule="auto" w:line="276"/>
        <w:jc w:val="both"/>
        <w:rPr>
          <w:rFonts w:ascii="Times New Roman" w:hAnsi="Times New Roman" w:cs="Arial"/>
          <w:b/>
          <w:b/>
          <w:bCs/>
          <w:color w:val="000000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8</w:t>
      </w: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. OBRIGAÇÕES DA CONTRATADA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8</w:t>
      </w: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.1.</w:t>
      </w:r>
      <w:r>
        <w:rPr>
          <w:rFonts w:cs="Arial" w:ascii="Times New Roman" w:hAnsi="Times New Roman"/>
          <w:color w:val="000000"/>
          <w:sz w:val="24"/>
          <w:szCs w:val="24"/>
        </w:rPr>
        <w:t xml:space="preserve"> A Contratada deve cumprir todas as obrigações constantes n</w:t>
      </w:r>
      <w:r>
        <w:rPr>
          <w:rFonts w:cs="Arial" w:ascii="Times New Roman" w:hAnsi="Times New Roman"/>
          <w:color w:val="000000"/>
          <w:sz w:val="24"/>
          <w:szCs w:val="24"/>
        </w:rPr>
        <w:t>a Autorização de Fornecimento</w:t>
      </w:r>
      <w:r>
        <w:rPr>
          <w:rFonts w:cs="Arial" w:ascii="Times New Roman" w:hAnsi="Times New Roman"/>
          <w:color w:val="000000"/>
          <w:sz w:val="24"/>
          <w:szCs w:val="24"/>
        </w:rPr>
        <w:t>, neste Temo de Referência, seus anexos e sua proposta, assumindo como exclusivamente seus os riscos e as despesas decorrentes da boa e perfeita execução do objeto.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8</w:t>
      </w:r>
      <w:r>
        <w:rPr>
          <w:rFonts w:cs="Arial" w:ascii="Times New Roman" w:hAnsi="Times New Roman"/>
          <w:b/>
          <w:bCs/>
          <w:color w:val="000000"/>
          <w:sz w:val="24"/>
          <w:szCs w:val="24"/>
        </w:rPr>
        <w:t xml:space="preserve">.2. </w:t>
      </w:r>
      <w:r>
        <w:rPr>
          <w:rFonts w:cs="Arial" w:ascii="Times New Roman" w:hAnsi="Times New Roman"/>
          <w:color w:val="000000"/>
          <w:sz w:val="24"/>
          <w:szCs w:val="24"/>
        </w:rPr>
        <w:t xml:space="preserve">Efetuar a entrega dos itens em perfeitas condições, conforme especificações, prazo e local constantes </w:t>
      </w:r>
      <w:r>
        <w:rPr>
          <w:rFonts w:cs="Arial" w:ascii="Times New Roman" w:hAnsi="Times New Roman"/>
          <w:color w:val="000000"/>
          <w:sz w:val="24"/>
          <w:szCs w:val="24"/>
        </w:rPr>
        <w:t>da Autorização de Fornecimento</w:t>
      </w:r>
      <w:r>
        <w:rPr>
          <w:rFonts w:cs="Arial" w:ascii="Times New Roman" w:hAnsi="Times New Roman"/>
          <w:color w:val="000000"/>
          <w:sz w:val="24"/>
          <w:szCs w:val="24"/>
        </w:rPr>
        <w:t>, Termo de Referência e seus anexos, acompanhado da respectiva nota fiscal, na qual constarão as indicações referentes a: marca, fabricante, modelo, procedência e prazo de validade.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8</w:t>
      </w: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.3</w:t>
      </w:r>
      <w:r>
        <w:rPr>
          <w:rFonts w:cs="Arial" w:ascii="Times New Roman" w:hAnsi="Times New Roman"/>
          <w:color w:val="000000"/>
          <w:sz w:val="24"/>
          <w:szCs w:val="24"/>
        </w:rPr>
        <w:t>. Responsabilizar-se pelos vícios e danos decorrentes do objeto, de acordo com os artigos 12, 13 e 17 a 27, do Código de Defesa do Consumidor (Lei nº 8.078, de 1990).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8</w:t>
      </w:r>
      <w:r>
        <w:rPr>
          <w:rFonts w:cs="Arial" w:ascii="Times New Roman" w:hAnsi="Times New Roman"/>
          <w:b/>
          <w:bCs/>
          <w:color w:val="000000"/>
          <w:sz w:val="24"/>
          <w:szCs w:val="24"/>
        </w:rPr>
        <w:t xml:space="preserve">.4. </w:t>
      </w:r>
      <w:r>
        <w:rPr>
          <w:rFonts w:cs="Arial" w:ascii="Times New Roman" w:hAnsi="Times New Roman"/>
          <w:color w:val="000000"/>
          <w:sz w:val="24"/>
          <w:szCs w:val="24"/>
        </w:rPr>
        <w:t xml:space="preserve">Substituir, reparar ou corrigir, às suas expensas, no prazo fixado </w:t>
      </w:r>
      <w:r>
        <w:rPr>
          <w:rFonts w:cs="Arial" w:ascii="Times New Roman" w:hAnsi="Times New Roman"/>
          <w:color w:val="000000"/>
          <w:sz w:val="24"/>
          <w:szCs w:val="24"/>
        </w:rPr>
        <w:t>pelo Contratante</w:t>
      </w:r>
      <w:r>
        <w:rPr>
          <w:rFonts w:cs="Arial" w:ascii="Times New Roman" w:hAnsi="Times New Roman"/>
          <w:color w:val="000000"/>
          <w:sz w:val="24"/>
          <w:szCs w:val="24"/>
        </w:rPr>
        <w:t>, o objeto com avarias ou defeitos.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8</w:t>
      </w:r>
      <w:r>
        <w:rPr>
          <w:rFonts w:cs="Arial" w:ascii="Times New Roman" w:hAnsi="Times New Roman"/>
          <w:b/>
          <w:bCs/>
          <w:color w:val="000000"/>
          <w:sz w:val="24"/>
          <w:szCs w:val="24"/>
        </w:rPr>
        <w:t xml:space="preserve">.5. </w:t>
      </w:r>
      <w:r>
        <w:rPr>
          <w:rFonts w:cs="Arial" w:ascii="Times New Roman" w:hAnsi="Times New Roman"/>
          <w:color w:val="000000"/>
          <w:sz w:val="24"/>
          <w:szCs w:val="24"/>
        </w:rPr>
        <w:t>Comunicar à Contratante, no prazo máximo de 72 (setenta e duas) horas que antecede a data da entrega, os motivos que impossibilitem o cumprimento do prazo previsto, com a devida comprovação.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cs="Verdana" w:ascii="Times New Roman" w:hAnsi="Times New Roman"/>
          <w:b/>
          <w:bCs/>
          <w:iCs/>
          <w:color w:val="000000"/>
          <w:sz w:val="24"/>
          <w:szCs w:val="24"/>
          <w:lang w:eastAsia="en-US"/>
        </w:rPr>
        <w:t>8.</w:t>
      </w:r>
      <w:r>
        <w:rPr>
          <w:rFonts w:cs="Verdana" w:ascii="Times New Roman" w:hAnsi="Times New Roman"/>
          <w:b/>
          <w:bCs/>
          <w:iCs/>
          <w:color w:val="000000"/>
          <w:sz w:val="24"/>
          <w:szCs w:val="24"/>
          <w:lang w:eastAsia="en-US"/>
        </w:rPr>
        <w:t>6</w:t>
      </w:r>
      <w:r>
        <w:rPr>
          <w:rFonts w:cs="Verdana" w:ascii="Times New Roman" w:hAnsi="Times New Roman"/>
          <w:b/>
          <w:bCs/>
          <w:iCs/>
          <w:color w:val="000000"/>
          <w:sz w:val="24"/>
          <w:szCs w:val="24"/>
          <w:lang w:eastAsia="en-US"/>
        </w:rPr>
        <w:t xml:space="preserve">. </w:t>
      </w:r>
      <w:r>
        <w:rPr>
          <w:rFonts w:cs="Verdana" w:ascii="Times New Roman" w:hAnsi="Times New Roman"/>
          <w:b w:val="false"/>
          <w:bCs w:val="false"/>
          <w:iCs/>
          <w:color w:val="000000"/>
          <w:sz w:val="24"/>
          <w:szCs w:val="24"/>
          <w:lang w:eastAsia="en-US"/>
        </w:rPr>
        <w:t>Responsabilizar-se pelos custos referentes ao transporte e guarda dos equipamentos antes de sua entrega no local indicado.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cs="Verdana" w:ascii="Times New Roman" w:hAnsi="Times New Roman"/>
          <w:b/>
          <w:bCs/>
          <w:iCs/>
          <w:color w:val="000000"/>
          <w:sz w:val="24"/>
          <w:szCs w:val="24"/>
          <w:lang w:eastAsia="en-US"/>
        </w:rPr>
        <w:t>8.</w:t>
      </w:r>
      <w:r>
        <w:rPr>
          <w:rFonts w:cs="Verdana" w:ascii="Times New Roman" w:hAnsi="Times New Roman"/>
          <w:b/>
          <w:bCs/>
          <w:iCs/>
          <w:color w:val="000000"/>
          <w:sz w:val="24"/>
          <w:szCs w:val="24"/>
          <w:lang w:eastAsia="en-US"/>
        </w:rPr>
        <w:t>7</w:t>
      </w:r>
      <w:r>
        <w:rPr>
          <w:rFonts w:cs="Verdana" w:ascii="Times New Roman" w:hAnsi="Times New Roman"/>
          <w:b/>
          <w:bCs/>
          <w:iCs/>
          <w:color w:val="000000"/>
          <w:sz w:val="24"/>
          <w:szCs w:val="24"/>
          <w:lang w:eastAsia="en-US"/>
        </w:rPr>
        <w:t xml:space="preserve">. </w:t>
      </w:r>
      <w:r>
        <w:rPr>
          <w:rFonts w:cs="Verdana" w:ascii="Times New Roman" w:hAnsi="Times New Roman"/>
          <w:b w:val="false"/>
          <w:bCs w:val="false"/>
          <w:iCs/>
          <w:color w:val="000000"/>
          <w:sz w:val="24"/>
          <w:szCs w:val="24"/>
          <w:lang w:eastAsia="en-US"/>
        </w:rPr>
        <w:t>Manter-se, durante a vigência do contrato, todas as condições exigidas para habilitação, em observância à legislação vigente.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cs="Verdana" w:ascii="Times New Roman" w:hAnsi="Times New Roman"/>
          <w:b/>
          <w:bCs/>
          <w:iCs/>
          <w:color w:val="000000"/>
          <w:sz w:val="24"/>
          <w:szCs w:val="24"/>
          <w:lang w:eastAsia="en-US"/>
        </w:rPr>
        <w:t>8.</w:t>
      </w:r>
      <w:r>
        <w:rPr>
          <w:rFonts w:cs="Verdana" w:ascii="Times New Roman" w:hAnsi="Times New Roman"/>
          <w:b/>
          <w:bCs/>
          <w:iCs/>
          <w:color w:val="000000"/>
          <w:sz w:val="24"/>
          <w:szCs w:val="24"/>
          <w:lang w:eastAsia="en-US"/>
        </w:rPr>
        <w:t>8</w:t>
      </w:r>
      <w:r>
        <w:rPr>
          <w:rFonts w:cs="Verdana" w:ascii="Times New Roman" w:hAnsi="Times New Roman"/>
          <w:b/>
          <w:bCs/>
          <w:iCs/>
          <w:color w:val="000000"/>
          <w:sz w:val="24"/>
          <w:szCs w:val="24"/>
          <w:lang w:eastAsia="en-US"/>
        </w:rPr>
        <w:t xml:space="preserve">. </w:t>
      </w:r>
      <w:r>
        <w:rPr>
          <w:rFonts w:cs="Verdana" w:ascii="Times New Roman" w:hAnsi="Times New Roman"/>
          <w:b w:val="false"/>
          <w:bCs w:val="false"/>
          <w:iCs/>
          <w:color w:val="000000"/>
          <w:sz w:val="24"/>
          <w:szCs w:val="24"/>
          <w:lang w:eastAsia="en-US"/>
        </w:rPr>
        <w:t xml:space="preserve">Prestar esclarecimentos técnicos </w:t>
      </w:r>
      <w:r>
        <w:rPr>
          <w:rFonts w:cs="Verdana" w:ascii="Times New Roman" w:hAnsi="Times New Roman"/>
          <w:b w:val="false"/>
          <w:bCs w:val="false"/>
          <w:iCs/>
          <w:color w:val="000000"/>
          <w:sz w:val="24"/>
          <w:szCs w:val="24"/>
          <w:lang w:eastAsia="en-US"/>
        </w:rPr>
        <w:t xml:space="preserve">ao Contratante </w:t>
      </w:r>
      <w:r>
        <w:rPr>
          <w:rFonts w:cs="Verdana" w:ascii="Times New Roman" w:hAnsi="Times New Roman"/>
          <w:b w:val="false"/>
          <w:bCs w:val="false"/>
          <w:iCs/>
          <w:color w:val="000000"/>
          <w:sz w:val="24"/>
          <w:szCs w:val="24"/>
          <w:lang w:eastAsia="en-US"/>
        </w:rPr>
        <w:t>no que se refere ao objeto da aquisição, sempre que solicitada.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cs="Verdana" w:ascii="Times New Roman" w:hAnsi="Times New Roman"/>
          <w:b/>
          <w:bCs/>
          <w:iCs/>
          <w:color w:val="000000"/>
          <w:sz w:val="24"/>
          <w:szCs w:val="24"/>
          <w:lang w:eastAsia="en-US"/>
        </w:rPr>
        <w:t>8.</w:t>
      </w:r>
      <w:r>
        <w:rPr>
          <w:rFonts w:cs="Verdana" w:ascii="Times New Roman" w:hAnsi="Times New Roman"/>
          <w:b/>
          <w:bCs/>
          <w:iCs/>
          <w:color w:val="000000"/>
          <w:sz w:val="24"/>
          <w:szCs w:val="24"/>
          <w:lang w:eastAsia="en-US"/>
        </w:rPr>
        <w:t>9</w:t>
      </w:r>
      <w:r>
        <w:rPr>
          <w:rFonts w:cs="Verdana" w:ascii="Times New Roman" w:hAnsi="Times New Roman"/>
          <w:b/>
          <w:bCs/>
          <w:iCs/>
          <w:color w:val="000000"/>
          <w:sz w:val="24"/>
          <w:szCs w:val="24"/>
          <w:lang w:eastAsia="en-US"/>
        </w:rPr>
        <w:t xml:space="preserve">. </w:t>
      </w:r>
      <w:r>
        <w:rPr>
          <w:rFonts w:cs="Verdana" w:ascii="Times New Roman" w:hAnsi="Times New Roman"/>
          <w:b w:val="false"/>
          <w:bCs w:val="false"/>
          <w:iCs/>
          <w:color w:val="000000"/>
          <w:sz w:val="24"/>
          <w:szCs w:val="24"/>
          <w:lang w:eastAsia="en-US"/>
        </w:rPr>
        <w:t>Responsabilizar-se integralmente pelos encargos trabalhistas, previdenciários, fiscais, comerciais e de responsabilidade civil, bem como outros encargos, taxas e impostos decorrentes da execução do contrato.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cs="Verdana" w:ascii="Times New Roman" w:hAnsi="Times New Roman"/>
          <w:b/>
          <w:bCs/>
          <w:iCs/>
          <w:color w:val="000000"/>
          <w:sz w:val="24"/>
          <w:szCs w:val="24"/>
          <w:lang w:eastAsia="en-US"/>
        </w:rPr>
        <w:t>8.1</w:t>
      </w:r>
      <w:r>
        <w:rPr>
          <w:rFonts w:cs="Verdana" w:ascii="Times New Roman" w:hAnsi="Times New Roman"/>
          <w:b/>
          <w:bCs/>
          <w:iCs/>
          <w:color w:val="000000"/>
          <w:sz w:val="24"/>
          <w:szCs w:val="24"/>
          <w:lang w:eastAsia="en-US"/>
        </w:rPr>
        <w:t>0</w:t>
      </w:r>
      <w:r>
        <w:rPr>
          <w:rFonts w:cs="Verdana" w:ascii="Times New Roman" w:hAnsi="Times New Roman"/>
          <w:b/>
          <w:bCs/>
          <w:iCs/>
          <w:color w:val="000000"/>
          <w:sz w:val="24"/>
          <w:szCs w:val="24"/>
          <w:lang w:eastAsia="en-US"/>
        </w:rPr>
        <w:t xml:space="preserve">. </w:t>
      </w:r>
      <w:r>
        <w:rPr>
          <w:rFonts w:cs="Verdana" w:ascii="Times New Roman" w:hAnsi="Times New Roman"/>
          <w:b w:val="false"/>
          <w:bCs w:val="false"/>
          <w:iCs/>
          <w:color w:val="000000"/>
          <w:sz w:val="24"/>
          <w:szCs w:val="24"/>
          <w:lang w:eastAsia="en-US"/>
        </w:rPr>
        <w:t>Apresentar à requisitante, inclusive para fins de liberação do pagamento, notas fiscais de todos os equipamentos.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cs="Verdana" w:ascii="Times New Roman" w:hAnsi="Times New Roman"/>
          <w:b/>
          <w:bCs/>
          <w:iCs/>
          <w:color w:val="000000"/>
          <w:sz w:val="24"/>
          <w:szCs w:val="24"/>
          <w:lang w:eastAsia="en-US"/>
        </w:rPr>
        <w:t>8.1</w:t>
      </w:r>
      <w:r>
        <w:rPr>
          <w:rFonts w:cs="Verdana" w:ascii="Times New Roman" w:hAnsi="Times New Roman"/>
          <w:b/>
          <w:bCs/>
          <w:iCs/>
          <w:color w:val="000000"/>
          <w:sz w:val="24"/>
          <w:szCs w:val="24"/>
          <w:lang w:eastAsia="en-US"/>
        </w:rPr>
        <w:t>1</w:t>
      </w:r>
      <w:r>
        <w:rPr>
          <w:rFonts w:cs="Verdana" w:ascii="Times New Roman" w:hAnsi="Times New Roman"/>
          <w:b/>
          <w:bCs/>
          <w:iCs/>
          <w:color w:val="000000"/>
          <w:sz w:val="24"/>
          <w:szCs w:val="24"/>
          <w:lang w:eastAsia="en-US"/>
        </w:rPr>
        <w:t xml:space="preserve">. </w:t>
      </w:r>
      <w:r>
        <w:rPr>
          <w:rFonts w:cs="Verdana" w:ascii="Times New Roman" w:hAnsi="Times New Roman"/>
          <w:b w:val="false"/>
          <w:bCs w:val="false"/>
          <w:iCs/>
          <w:color w:val="000000"/>
          <w:sz w:val="24"/>
          <w:szCs w:val="24"/>
          <w:lang w:eastAsia="en-US"/>
        </w:rPr>
        <w:t>Responsabilizar-se pelos ônus resultantes de quaisquer ações, demandas, custos e despesas decorrentes de danos ocorridos por dolo ou culpa sua ou de qualquer de seus empregados e pressupostos, obrigando-se igualmente por quaisquer responsabilidades decorrentes de ações judiciais movidas por terceiros, que lhe venham a ser exigida por força de Lei.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cs="Verdana" w:ascii="Times New Roman" w:hAnsi="Times New Roman"/>
          <w:b/>
          <w:bCs/>
          <w:iCs/>
          <w:color w:val="000000"/>
          <w:sz w:val="24"/>
          <w:szCs w:val="24"/>
          <w:lang w:eastAsia="en-US"/>
        </w:rPr>
        <w:t>8.1</w:t>
      </w:r>
      <w:r>
        <w:rPr>
          <w:rFonts w:cs="Verdana" w:ascii="Times New Roman" w:hAnsi="Times New Roman"/>
          <w:b/>
          <w:bCs/>
          <w:iCs/>
          <w:color w:val="000000"/>
          <w:sz w:val="24"/>
          <w:szCs w:val="24"/>
          <w:lang w:eastAsia="en-US"/>
        </w:rPr>
        <w:t>2</w:t>
      </w:r>
      <w:r>
        <w:rPr>
          <w:rFonts w:cs="Verdana" w:ascii="Times New Roman" w:hAnsi="Times New Roman"/>
          <w:b/>
          <w:bCs/>
          <w:iCs/>
          <w:color w:val="000000"/>
          <w:sz w:val="24"/>
          <w:szCs w:val="24"/>
          <w:lang w:eastAsia="en-US"/>
        </w:rPr>
        <w:t xml:space="preserve">. </w:t>
      </w:r>
      <w:r>
        <w:rPr>
          <w:rFonts w:cs="Verdana" w:ascii="Times New Roman" w:hAnsi="Times New Roman"/>
          <w:b w:val="false"/>
          <w:bCs w:val="false"/>
          <w:iCs/>
          <w:color w:val="000000"/>
          <w:sz w:val="24"/>
          <w:szCs w:val="24"/>
          <w:lang w:eastAsia="en-US"/>
        </w:rPr>
        <w:t>Que sejam observados os requisitos ambientais para a obtenção de certificação do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jc w:val="both"/>
        <w:rPr>
          <w:rFonts w:cs="Verdana"/>
          <w:iCs/>
          <w:color w:val="000000"/>
          <w:lang w:eastAsia="en-US"/>
        </w:rPr>
      </w:pPr>
      <w:r>
        <w:rPr>
          <w:rFonts w:cs="Verdana" w:ascii="Times New Roman" w:hAnsi="Times New Roman"/>
          <w:b w:val="false"/>
          <w:bCs w:val="false"/>
          <w:iCs/>
          <w:color w:val="000000"/>
          <w:sz w:val="24"/>
          <w:szCs w:val="24"/>
          <w:lang w:eastAsia="en-US"/>
        </w:rPr>
        <w:t>Instituto Nacional de Metrologia, Normalização e Qualidade Industrial – INMETRO, como produtos sustentáveis ou de menor impacto ambiental em relação aos seus similares.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cs="Verdana" w:ascii="Times New Roman" w:hAnsi="Times New Roman"/>
          <w:b/>
          <w:bCs/>
          <w:iCs/>
          <w:color w:val="000000"/>
          <w:sz w:val="24"/>
          <w:szCs w:val="24"/>
          <w:lang w:eastAsia="en-US"/>
        </w:rPr>
        <w:t>8.1</w:t>
      </w:r>
      <w:r>
        <w:rPr>
          <w:rFonts w:cs="Verdana" w:ascii="Times New Roman" w:hAnsi="Times New Roman"/>
          <w:b/>
          <w:bCs/>
          <w:iCs/>
          <w:color w:val="000000"/>
          <w:sz w:val="24"/>
          <w:szCs w:val="24"/>
          <w:lang w:eastAsia="en-US"/>
        </w:rPr>
        <w:t>3</w:t>
      </w:r>
      <w:r>
        <w:rPr>
          <w:rFonts w:cs="Verdana" w:ascii="Times New Roman" w:hAnsi="Times New Roman"/>
          <w:b/>
          <w:bCs/>
          <w:iCs/>
          <w:color w:val="000000"/>
          <w:sz w:val="24"/>
          <w:szCs w:val="24"/>
          <w:lang w:eastAsia="en-US"/>
        </w:rPr>
        <w:t xml:space="preserve">. </w:t>
      </w:r>
      <w:r>
        <w:rPr>
          <w:rFonts w:cs="Verdana" w:ascii="Times New Roman" w:hAnsi="Times New Roman"/>
          <w:b w:val="false"/>
          <w:bCs w:val="false"/>
          <w:iCs/>
          <w:color w:val="000000"/>
          <w:sz w:val="24"/>
          <w:szCs w:val="24"/>
          <w:lang w:eastAsia="en-US"/>
        </w:rPr>
        <w:t>Que os bens devam ser, preferencialmente, acondicionados em embalagem individual adequada, com o menor volume possível, que utilize materiais recicláveis, de forma a garantir a máxima proteção durante o transporte e o armazenamento.</w:t>
      </w:r>
      <w:bookmarkStart w:id="8" w:name="page68R_mcid202"/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bookmarkStart w:id="9" w:name="page68R_mcid201"/>
      <w:bookmarkStart w:id="10" w:name="page68R_mcid20"/>
      <w:bookmarkStart w:id="11" w:name="page68R_mcid201"/>
      <w:bookmarkStart w:id="12" w:name="page68R_mcid20"/>
      <w:bookmarkEnd w:id="11"/>
      <w:bookmarkEnd w:id="12"/>
    </w:p>
    <w:p>
      <w:pPr>
        <w:pStyle w:val="Normal"/>
        <w:spacing w:lineRule="auto" w:line="276"/>
        <w:jc w:val="both"/>
        <w:rPr>
          <w:b/>
          <w:b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>9. CRITÉRIOS DE PAGAMENTO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9.1.</w:t>
      </w:r>
      <w:r>
        <w:rPr>
          <w:rFonts w:ascii="Times New Roman" w:hAnsi="Times New Roman"/>
          <w:sz w:val="24"/>
          <w:szCs w:val="24"/>
          <w:lang w:eastAsia="en-US"/>
        </w:rPr>
        <w:t xml:space="preserve"> Recebida a nota fiscal ou instrumento de cobrança equivalente, correrá o prazo de 10 (dez) dias para liquidação e pagamento da despesa, na forma desta seção, prorrogáveis por período não superior à metade do inicialmente estabelecido.</w:t>
      </w:r>
    </w:p>
    <w:p>
      <w:pPr>
        <w:pStyle w:val="Normal"/>
        <w:spacing w:lineRule="auto" w:line="276"/>
        <w:ind w:left="-22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shd w:fill="auto" w:val="clear"/>
        </w:rPr>
        <w:t>9.2.</w:t>
      </w:r>
      <w:r>
        <w:rPr>
          <w:rFonts w:ascii="Times New Roman" w:hAnsi="Times New Roman"/>
          <w:sz w:val="24"/>
          <w:szCs w:val="24"/>
          <w:shd w:fill="auto" w:val="clear"/>
        </w:rPr>
        <w:t xml:space="preserve"> Para fins de liquidação, o setor competente deverá verificar se a </w:t>
      </w:r>
      <w:r>
        <w:rPr>
          <w:rFonts w:ascii="Times New Roman" w:hAnsi="Times New Roman"/>
          <w:sz w:val="24"/>
          <w:szCs w:val="24"/>
          <w:shd w:fill="auto" w:val="clear"/>
          <w:lang w:eastAsia="en-US"/>
        </w:rPr>
        <w:t>nota fiscal ou instrumento de cobrança equivalente</w:t>
      </w:r>
      <w:r>
        <w:rPr>
          <w:rFonts w:ascii="Times New Roman" w:hAnsi="Times New Roman"/>
          <w:sz w:val="24"/>
          <w:szCs w:val="24"/>
          <w:shd w:fill="auto" w:val="clear"/>
        </w:rPr>
        <w:t xml:space="preserve"> apresentada expressa os elementos necessários e essenciais do documento, tais como: </w:t>
      </w:r>
    </w:p>
    <w:p>
      <w:pPr>
        <w:pStyle w:val="Normal"/>
        <w:tabs>
          <w:tab w:val="clear" w:pos="708"/>
          <w:tab w:val="left" w:pos="563" w:leader="none"/>
        </w:tabs>
        <w:spacing w:lineRule="auto" w:line="276"/>
        <w:ind w:left="432" w:hanging="0"/>
        <w:jc w:val="both"/>
        <w:rPr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 xml:space="preserve">- A data da emissão; </w:t>
      </w:r>
    </w:p>
    <w:p>
      <w:pPr>
        <w:pStyle w:val="Normal"/>
        <w:tabs>
          <w:tab w:val="clear" w:pos="708"/>
          <w:tab w:val="left" w:pos="563" w:leader="none"/>
        </w:tabs>
        <w:spacing w:lineRule="auto" w:line="276"/>
        <w:ind w:left="432" w:hanging="0"/>
        <w:jc w:val="both"/>
        <w:rPr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 xml:space="preserve">- Os dados do contrato e do órgão contratante; </w:t>
      </w:r>
    </w:p>
    <w:p>
      <w:pPr>
        <w:pStyle w:val="Normal"/>
        <w:tabs>
          <w:tab w:val="clear" w:pos="708"/>
          <w:tab w:val="left" w:pos="563" w:leader="none"/>
        </w:tabs>
        <w:spacing w:lineRule="auto" w:line="276"/>
        <w:ind w:left="432" w:hanging="0"/>
        <w:jc w:val="both"/>
        <w:rPr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 xml:space="preserve">- O período respectivo de execução do contrato; </w:t>
      </w:r>
    </w:p>
    <w:p>
      <w:pPr>
        <w:pStyle w:val="Normal"/>
        <w:tabs>
          <w:tab w:val="clear" w:pos="708"/>
          <w:tab w:val="left" w:pos="563" w:leader="none"/>
        </w:tabs>
        <w:spacing w:lineRule="auto" w:line="276"/>
        <w:ind w:left="432" w:hanging="0"/>
        <w:jc w:val="both"/>
        <w:rPr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 xml:space="preserve">- O valor a pagar; e </w:t>
      </w:r>
    </w:p>
    <w:p>
      <w:pPr>
        <w:pStyle w:val="Normal"/>
        <w:tabs>
          <w:tab w:val="clear" w:pos="708"/>
          <w:tab w:val="left" w:pos="563" w:leader="none"/>
        </w:tabs>
        <w:spacing w:lineRule="auto" w:line="276"/>
        <w:ind w:left="432" w:hanging="0"/>
        <w:jc w:val="both"/>
        <w:rPr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- Eventual destaque do valor de retenções tributárias cabíveis.</w:t>
      </w:r>
    </w:p>
    <w:p>
      <w:pPr>
        <w:pStyle w:val="Normal"/>
        <w:tabs>
          <w:tab w:val="clear" w:pos="708"/>
          <w:tab w:val="left" w:pos="563" w:leader="none"/>
        </w:tabs>
        <w:spacing w:lineRule="auto" w:line="276"/>
        <w:ind w:left="-22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9.3.</w:t>
      </w:r>
      <w:r>
        <w:rPr>
          <w:rFonts w:ascii="Times New Roman" w:hAnsi="Times New Roman"/>
          <w:sz w:val="24"/>
          <w:szCs w:val="24"/>
        </w:rPr>
        <w:t xml:space="preserve"> Havendo erro na apresentação da </w:t>
      </w:r>
      <w:r>
        <w:rPr>
          <w:rFonts w:ascii="Times New Roman" w:hAnsi="Times New Roman"/>
          <w:sz w:val="24"/>
          <w:szCs w:val="24"/>
          <w:lang w:eastAsia="en-US"/>
        </w:rPr>
        <w:t>nota fiscal ou instrumento de cobrança equivalente</w:t>
      </w:r>
      <w:r>
        <w:rPr>
          <w:rFonts w:ascii="Times New Roman" w:hAnsi="Times New Roman"/>
          <w:sz w:val="24"/>
          <w:szCs w:val="24"/>
        </w:rPr>
        <w:t>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>
      <w:pPr>
        <w:pStyle w:val="Normal"/>
        <w:tabs>
          <w:tab w:val="clear" w:pos="708"/>
          <w:tab w:val="left" w:pos="109" w:leader="none"/>
        </w:tabs>
        <w:spacing w:lineRule="auto" w:line="276"/>
        <w:ind w:left="-22" w:hanging="0"/>
        <w:jc w:val="both"/>
        <w:rPr/>
      </w:pPr>
      <w:r>
        <w:rPr>
          <w:rFonts w:ascii="Times New Roman" w:hAnsi="Times New Roman"/>
          <w:b/>
          <w:bCs/>
          <w:sz w:val="24"/>
          <w:szCs w:val="24"/>
        </w:rPr>
        <w:t xml:space="preserve">9.4. 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  <w:lang w:eastAsia="en-US"/>
        </w:rPr>
        <w:t xml:space="preserve"> nota fiscal ou instrumento de cobrança equivalente deverá ser obrigatoriamente acompanhado da comprovação da regularidade fiscal</w:t>
      </w:r>
      <w:r>
        <w:rPr>
          <w:rStyle w:val="LinkdaInternet"/>
          <w:rFonts w:ascii="Times New Roman" w:hAnsi="Times New Roman"/>
          <w:sz w:val="24"/>
          <w:szCs w:val="24"/>
          <w:lang w:eastAsia="en-US"/>
        </w:rPr>
        <w:t>.</w:t>
      </w:r>
    </w:p>
    <w:p>
      <w:pPr>
        <w:pStyle w:val="Normal"/>
        <w:spacing w:lineRule="auto" w:line="276"/>
        <w:ind w:left="-22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9.5. </w:t>
      </w:r>
      <w:r>
        <w:rPr>
          <w:rFonts w:ascii="Times New Roman" w:hAnsi="Times New Roman"/>
          <w:sz w:val="24"/>
          <w:szCs w:val="24"/>
        </w:rPr>
        <w:t>O pagamento será realizado por meio de depósito ou transferência em conta bancária indicada pelo fornecedor, ou meio de pagamento eletrônico, em chave cadastrada no CNPJ (PIX) da contratada.</w:t>
      </w:r>
    </w:p>
    <w:p>
      <w:pPr>
        <w:pStyle w:val="Normal"/>
        <w:spacing w:lineRule="auto" w:line="276"/>
        <w:ind w:left="-22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9.6</w:t>
      </w:r>
      <w:r>
        <w:rPr>
          <w:rFonts w:ascii="Times New Roman" w:hAnsi="Times New Roman"/>
          <w:sz w:val="24"/>
          <w:szCs w:val="24"/>
        </w:rPr>
        <w:t>. Quando do pagamento, será efetuada a retenção tributária prevista na legislação aplicável.</w:t>
      </w:r>
    </w:p>
    <w:p>
      <w:pPr>
        <w:pStyle w:val="Normal"/>
        <w:spacing w:lineRule="auto" w:line="276"/>
        <w:ind w:left="-22" w:hanging="0"/>
        <w:jc w:val="both"/>
        <w:rPr/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9.7</w:t>
      </w:r>
      <w:r>
        <w:rPr>
          <w:rFonts w:ascii="Times New Roman" w:hAnsi="Times New Roman"/>
          <w:sz w:val="24"/>
          <w:szCs w:val="24"/>
          <w:lang w:eastAsia="en-US"/>
        </w:rPr>
        <w:t xml:space="preserve">. O contratado regularmente optante pelo Simples Nacional, nos termos da </w:t>
      </w:r>
      <w:hyperlink r:id="rId2">
        <w:r>
          <w:rPr>
            <w:rFonts w:ascii="Times New Roman" w:hAnsi="Times New Roman"/>
            <w:sz w:val="24"/>
            <w:szCs w:val="24"/>
            <w:lang w:eastAsia="en-US"/>
          </w:rPr>
          <w:t>Lei Complementar nº 123, de 2006</w:t>
        </w:r>
      </w:hyperlink>
      <w:r>
        <w:rPr>
          <w:rFonts w:ascii="Times New Roman" w:hAnsi="Times New Roman"/>
          <w:sz w:val="24"/>
          <w:szCs w:val="24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>
      <w:pPr>
        <w:pStyle w:val="Normal"/>
        <w:spacing w:lineRule="auto" w:line="276"/>
        <w:ind w:left="-79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9.8</w:t>
      </w:r>
      <w:r>
        <w:rPr>
          <w:rFonts w:ascii="Times New Roman" w:hAnsi="Times New Roman"/>
          <w:sz w:val="24"/>
          <w:szCs w:val="24"/>
          <w:lang w:eastAsia="en-US"/>
        </w:rPr>
        <w:t>. Conforme Decreto Municipal nº 3.686/2023 será retido o Imposto de Renda na Fonte nos pagamentos efetuados por Órgãos, Autarquias e Fundações instituídas e mantidas pelo Município de São Gabriel da Palha a pessoas jurídicas pelo fornecimento de bens e prestação de serviços.</w:t>
      </w:r>
    </w:p>
    <w:p>
      <w:pPr>
        <w:pStyle w:val="ListParagraph"/>
        <w:tabs>
          <w:tab w:val="clear" w:pos="708"/>
          <w:tab w:val="left" w:pos="518" w:leader="none"/>
        </w:tabs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9.9. </w:t>
      </w:r>
      <w:r>
        <w:rPr>
          <w:rFonts w:ascii="Times New Roman" w:hAnsi="Times New Roman"/>
          <w:sz w:val="24"/>
          <w:szCs w:val="24"/>
        </w:rPr>
        <w:t xml:space="preserve"> Após o prazo acima referenciado, será paga multa financeira nos seguintes termos:</w:t>
      </w:r>
    </w:p>
    <w:p>
      <w:pPr>
        <w:pStyle w:val="ListParagraph"/>
        <w:tabs>
          <w:tab w:val="clear" w:pos="708"/>
          <w:tab w:val="left" w:pos="518" w:leader="none"/>
        </w:tabs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tabs>
          <w:tab w:val="clear" w:pos="708"/>
          <w:tab w:val="left" w:pos="518" w:leader="none"/>
        </w:tabs>
        <w:ind w:left="0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sz w:val="24"/>
          <w:szCs w:val="24"/>
        </w:rPr>
        <w:t xml:space="preserve">VM = VF </w:t>
      </w:r>
      <w:r>
        <w:rPr>
          <w:rFonts w:cs="Verdana" w:ascii="Times New Roman" w:hAnsi="Times New Roman"/>
          <w:sz w:val="24"/>
          <w:szCs w:val="24"/>
          <w:vertAlign w:val="subscript"/>
        </w:rPr>
        <w:t>*</w:t>
      </w:r>
      <w:r>
        <w:rPr>
          <w:rFonts w:cs="Verdana" w:ascii="Times New Roman" w:hAnsi="Times New Roman"/>
          <w:sz w:val="24"/>
          <w:szCs w:val="24"/>
        </w:rPr>
        <w:t xml:space="preserve"> </w:t>
      </w:r>
      <w:r>
        <w:rPr>
          <w:rFonts w:cs="Verdana" w:ascii="Times New Roman" w:hAnsi="Times New Roman"/>
          <w:sz w:val="24"/>
          <w:szCs w:val="24"/>
          <w:u w:val="single"/>
        </w:rPr>
        <w:t>0,33</w:t>
      </w:r>
      <w:r>
        <w:rPr>
          <w:rFonts w:cs="Verdana" w:ascii="Times New Roman" w:hAnsi="Times New Roman"/>
          <w:sz w:val="24"/>
          <w:szCs w:val="24"/>
        </w:rPr>
        <w:t xml:space="preserve"> </w:t>
      </w:r>
      <w:r>
        <w:rPr>
          <w:rFonts w:cs="Verdana" w:ascii="Times New Roman" w:hAnsi="Times New Roman"/>
          <w:sz w:val="24"/>
          <w:szCs w:val="24"/>
          <w:vertAlign w:val="subscript"/>
        </w:rPr>
        <w:t>*</w:t>
      </w:r>
      <w:r>
        <w:rPr>
          <w:rFonts w:cs="Verdana" w:ascii="Times New Roman" w:hAnsi="Times New Roman"/>
          <w:sz w:val="24"/>
          <w:szCs w:val="24"/>
        </w:rPr>
        <w:t xml:space="preserve"> ND</w:t>
      </w:r>
    </w:p>
    <w:p>
      <w:pPr>
        <w:pStyle w:val="ListParagraph"/>
        <w:tabs>
          <w:tab w:val="clear" w:pos="708"/>
          <w:tab w:val="left" w:pos="518" w:leader="none"/>
        </w:tabs>
        <w:ind w:left="0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eastAsia="Verdana" w:cs="Verdana" w:ascii="Times New Roman" w:hAnsi="Times New Roman"/>
          <w:sz w:val="24"/>
          <w:szCs w:val="24"/>
        </w:rPr>
        <w:t xml:space="preserve">        </w:t>
      </w:r>
      <w:r>
        <w:rPr>
          <w:rFonts w:cs="Verdana" w:ascii="Times New Roman" w:hAnsi="Times New Roman"/>
          <w:sz w:val="24"/>
          <w:szCs w:val="24"/>
        </w:rPr>
        <w:t>100</w:t>
      </w:r>
    </w:p>
    <w:p>
      <w:pPr>
        <w:pStyle w:val="Normal"/>
        <w:suppressAutoHyphens w:val="false"/>
        <w:spacing w:lineRule="auto" w:line="276"/>
        <w:rPr>
          <w:rFonts w:cs="Arial"/>
          <w:color w:val="000000"/>
        </w:rPr>
      </w:pPr>
      <w:r>
        <w:rPr>
          <w:rFonts w:cs="Arial" w:ascii="Times New Roman" w:hAnsi="Times New Roman"/>
          <w:color w:val="000000"/>
          <w:sz w:val="24"/>
          <w:szCs w:val="24"/>
        </w:rPr>
        <w:t xml:space="preserve">Onde: </w:t>
      </w:r>
    </w:p>
    <w:p>
      <w:pPr>
        <w:pStyle w:val="Normal"/>
        <w:suppressAutoHyphens w:val="false"/>
        <w:spacing w:lineRule="auto" w:line="276"/>
        <w:rPr>
          <w:rFonts w:cs="Arial"/>
          <w:color w:val="000000"/>
        </w:rPr>
      </w:pPr>
      <w:r>
        <w:rPr>
          <w:rFonts w:cs="Arial" w:ascii="Times New Roman" w:hAnsi="Times New Roman"/>
          <w:color w:val="000000"/>
          <w:sz w:val="24"/>
          <w:szCs w:val="24"/>
        </w:rPr>
        <w:t xml:space="preserve">VM = Valor da Multa Financeira; </w:t>
      </w:r>
    </w:p>
    <w:p>
      <w:pPr>
        <w:pStyle w:val="Normal"/>
        <w:suppressAutoHyphens w:val="false"/>
        <w:spacing w:lineRule="auto" w:line="276"/>
        <w:rPr>
          <w:rFonts w:cs="Arial"/>
          <w:color w:val="000000"/>
        </w:rPr>
      </w:pPr>
      <w:r>
        <w:rPr>
          <w:rFonts w:cs="Arial" w:ascii="Times New Roman" w:hAnsi="Times New Roman"/>
          <w:color w:val="000000"/>
          <w:sz w:val="24"/>
          <w:szCs w:val="24"/>
        </w:rPr>
        <w:t xml:space="preserve">VF = Valor da Nota Fiscal; </w:t>
      </w:r>
    </w:p>
    <w:p>
      <w:pPr>
        <w:pStyle w:val="ListParagraph"/>
        <w:tabs>
          <w:tab w:val="clear" w:pos="708"/>
          <w:tab w:val="left" w:pos="518" w:leader="none"/>
        </w:tabs>
        <w:ind w:left="0" w:hanging="0"/>
        <w:rPr>
          <w:rFonts w:eastAsia="Times New Roman" w:cs="Arial"/>
          <w:color w:val="000000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</w:rPr>
        <w:t>ND = Número de dias em atraso.</w:t>
      </w:r>
    </w:p>
    <w:p>
      <w:pPr>
        <w:pStyle w:val="Normal"/>
        <w:suppressAutoHyphens w:val="false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9.10.</w:t>
      </w:r>
      <w:r>
        <w:rPr>
          <w:rFonts w:cs="Arial" w:ascii="Times New Roman" w:hAnsi="Times New Roman"/>
          <w:color w:val="000000"/>
          <w:sz w:val="24"/>
          <w:szCs w:val="24"/>
        </w:rPr>
        <w:t xml:space="preserve"> A NOTA FISCAL ELETRÔNICA deverá conter o mesmo CNPJ e razão social apresentados quando na proposta, assim como, o número da contratação, o (s) objeto (s), os valores unitários e totais.</w:t>
      </w:r>
    </w:p>
    <w:p>
      <w:pPr>
        <w:pStyle w:val="Normal"/>
        <w:suppressAutoHyphens w:val="false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9.11.</w:t>
      </w:r>
      <w:r>
        <w:rPr>
          <w:rFonts w:cs="Arial" w:ascii="Times New Roman" w:hAnsi="Times New Roman"/>
          <w:color w:val="000000"/>
          <w:sz w:val="24"/>
          <w:szCs w:val="24"/>
        </w:rPr>
        <w:t xml:space="preserve"> Qualquer alteração feita no contrato social, ato constitutivo ou estatuto deverá ser comunicado ao CONTRATANTE, mediante documentação própria, para apreciação da autoridade competente. </w:t>
      </w:r>
    </w:p>
    <w:p>
      <w:pPr>
        <w:pStyle w:val="Normal"/>
        <w:suppressAutoHyphens w:val="false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9.12.</w:t>
      </w:r>
      <w:r>
        <w:rPr>
          <w:rFonts w:cs="Arial" w:ascii="Times New Roman" w:hAnsi="Times New Roman"/>
          <w:color w:val="000000"/>
          <w:sz w:val="24"/>
          <w:szCs w:val="24"/>
        </w:rPr>
        <w:t xml:space="preserve"> O CONTRATANTE poderá deduzir do pagamento importâncias que a qualquer título lhe forem devidos pela empresa CONTRATADA, em decorrência de descumprimento de suas obrigações.</w:t>
      </w:r>
    </w:p>
    <w:p>
      <w:pPr>
        <w:pStyle w:val="Default"/>
        <w:spacing w:lineRule="auto" w:line="276"/>
        <w:ind w:left="-22" w:hanging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sz w:val="24"/>
          <w:szCs w:val="24"/>
        </w:rPr>
        <w:t>9.13.</w:t>
      </w:r>
      <w:r>
        <w:rPr>
          <w:rFonts w:cs="Arial" w:ascii="Times New Roman" w:hAnsi="Times New Roman"/>
          <w:sz w:val="24"/>
          <w:szCs w:val="24"/>
        </w:rPr>
        <w:t xml:space="preserve"> </w:t>
      </w:r>
      <w:r>
        <w:rPr>
          <w:rFonts w:cs="Arial" w:ascii="Times New Roman" w:hAnsi="Times New Roman"/>
          <w:sz w:val="24"/>
          <w:szCs w:val="24"/>
          <w:lang w:eastAsia="en-US"/>
        </w:rPr>
        <w:t xml:space="preserve">Para a efetivação do pagamento, a CONTRATADA manterá as </w:t>
      </w:r>
      <w:r>
        <w:rPr>
          <w:rFonts w:cs="Arial" w:ascii="Times New Roman" w:hAnsi="Times New Roman"/>
          <w:sz w:val="24"/>
          <w:szCs w:val="24"/>
          <w:lang w:eastAsia="pt-BR"/>
        </w:rPr>
        <w:t>condições relativas à proposta de preço e a habilitação;</w:t>
      </w:r>
    </w:p>
    <w:p>
      <w:pPr>
        <w:pStyle w:val="Default"/>
        <w:spacing w:lineRule="auto" w:line="276"/>
        <w:ind w:left="-22" w:hanging="0"/>
        <w:jc w:val="both"/>
        <w:rPr>
          <w:rFonts w:ascii="Times New Roman" w:hAnsi="Times New Roman" w:cs="Arial"/>
          <w:b/>
          <w:b/>
          <w:sz w:val="24"/>
          <w:szCs w:val="24"/>
          <w:u w:val="single"/>
        </w:rPr>
      </w:pPr>
      <w:r>
        <w:rPr>
          <w:rFonts w:cs="Arial" w:ascii="Times New Roman" w:hAnsi="Times New Roman"/>
          <w:b/>
          <w:sz w:val="24"/>
          <w:szCs w:val="24"/>
          <w:u w:val="single"/>
        </w:rPr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10</w:t>
      </w:r>
      <w:r>
        <w:rPr>
          <w:rFonts w:ascii="Times New Roman" w:hAnsi="Times New Roman"/>
          <w:b/>
          <w:bCs/>
          <w:iCs/>
          <w:sz w:val="24"/>
          <w:szCs w:val="24"/>
        </w:rPr>
        <w:t>. DAS SANÇÕES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10</w:t>
      </w:r>
      <w:r>
        <w:rPr>
          <w:rFonts w:ascii="Times New Roman" w:hAnsi="Times New Roman"/>
          <w:b/>
          <w:bCs/>
          <w:iCs/>
          <w:sz w:val="24"/>
          <w:szCs w:val="24"/>
        </w:rPr>
        <w:t>.1.</w:t>
      </w:r>
      <w:r>
        <w:rPr>
          <w:rFonts w:ascii="Times New Roman" w:hAnsi="Times New Roman"/>
          <w:iCs/>
          <w:sz w:val="24"/>
          <w:szCs w:val="24"/>
        </w:rPr>
        <w:t xml:space="preserve"> Comete infração administrativa o fornecedor/prestador de serviço que cometer quaisquer das infrações previstas no art. 155 da Lei nº 14.133, de 2021, quais sejam: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10</w:t>
      </w:r>
      <w:r>
        <w:rPr>
          <w:rFonts w:ascii="Times New Roman" w:hAnsi="Times New Roman"/>
          <w:b/>
          <w:bCs/>
          <w:iCs/>
          <w:sz w:val="24"/>
          <w:szCs w:val="24"/>
        </w:rPr>
        <w:t>.1.1</w:t>
      </w:r>
      <w:r>
        <w:rPr>
          <w:rFonts w:ascii="Times New Roman" w:hAnsi="Times New Roman"/>
          <w:iCs/>
          <w:sz w:val="24"/>
          <w:szCs w:val="24"/>
        </w:rPr>
        <w:t>. Dar causa à inexecução parcial do contrato.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10</w:t>
      </w:r>
      <w:r>
        <w:rPr>
          <w:rFonts w:ascii="Times New Roman" w:hAnsi="Times New Roman"/>
          <w:b/>
          <w:bCs/>
          <w:iCs/>
          <w:sz w:val="24"/>
          <w:szCs w:val="24"/>
        </w:rPr>
        <w:t>.1.2.</w:t>
      </w:r>
      <w:r>
        <w:rPr>
          <w:rFonts w:ascii="Times New Roman" w:hAnsi="Times New Roman"/>
          <w:iCs/>
          <w:sz w:val="24"/>
          <w:szCs w:val="24"/>
        </w:rPr>
        <w:t xml:space="preserve"> Dar causa à inexecução parcial que cause grave dano à Autarquia, ao funcionamento dos serviços públicos ou ao interesse coletivo.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10</w:t>
      </w:r>
      <w:r>
        <w:rPr>
          <w:rFonts w:ascii="Times New Roman" w:hAnsi="Times New Roman"/>
          <w:b/>
          <w:bCs/>
          <w:iCs/>
          <w:sz w:val="24"/>
          <w:szCs w:val="24"/>
        </w:rPr>
        <w:t>.1.3.</w:t>
      </w:r>
      <w:r>
        <w:rPr>
          <w:rFonts w:ascii="Times New Roman" w:hAnsi="Times New Roman"/>
          <w:iCs/>
          <w:sz w:val="24"/>
          <w:szCs w:val="24"/>
        </w:rPr>
        <w:t xml:space="preserve"> Dar causa à inexecução total;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10</w:t>
      </w:r>
      <w:r>
        <w:rPr>
          <w:rFonts w:ascii="Times New Roman" w:hAnsi="Times New Roman"/>
          <w:b/>
          <w:bCs/>
          <w:iCs/>
          <w:sz w:val="24"/>
          <w:szCs w:val="24"/>
        </w:rPr>
        <w:t>.1.4.</w:t>
      </w:r>
      <w:r>
        <w:rPr>
          <w:rFonts w:ascii="Times New Roman" w:hAnsi="Times New Roman"/>
          <w:iCs/>
          <w:sz w:val="24"/>
          <w:szCs w:val="24"/>
        </w:rPr>
        <w:t xml:space="preserve"> Deixar de entregar a documentação exigida para o certame.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10</w:t>
      </w:r>
      <w:r>
        <w:rPr>
          <w:rFonts w:ascii="Times New Roman" w:hAnsi="Times New Roman"/>
          <w:b/>
          <w:bCs/>
          <w:iCs/>
          <w:sz w:val="24"/>
          <w:szCs w:val="24"/>
        </w:rPr>
        <w:t>.1.5.</w:t>
      </w:r>
      <w:r>
        <w:rPr>
          <w:rFonts w:ascii="Times New Roman" w:hAnsi="Times New Roman"/>
          <w:iCs/>
          <w:sz w:val="24"/>
          <w:szCs w:val="24"/>
        </w:rPr>
        <w:t xml:space="preserve"> Não manter a proposta, salvo em decorrência de fato superveniente devidamente justificado.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10</w:t>
      </w:r>
      <w:r>
        <w:rPr>
          <w:rFonts w:ascii="Times New Roman" w:hAnsi="Times New Roman"/>
          <w:b/>
          <w:bCs/>
          <w:iCs/>
          <w:sz w:val="24"/>
          <w:szCs w:val="24"/>
        </w:rPr>
        <w:t>.1.6</w:t>
      </w:r>
      <w:r>
        <w:rPr>
          <w:rFonts w:ascii="Times New Roman" w:hAnsi="Times New Roman"/>
          <w:iCs/>
          <w:sz w:val="24"/>
          <w:szCs w:val="24"/>
        </w:rPr>
        <w:t xml:space="preserve">. Não celebrar o contrato ou não entregar a documentação exigida para a contratação, quando convocado dentro do prazo de validade de sua proposta. 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10</w:t>
      </w:r>
      <w:r>
        <w:rPr>
          <w:rFonts w:ascii="Times New Roman" w:hAnsi="Times New Roman"/>
          <w:b/>
          <w:bCs/>
          <w:iCs/>
          <w:sz w:val="24"/>
          <w:szCs w:val="24"/>
        </w:rPr>
        <w:t>.1.7.</w:t>
      </w:r>
      <w:r>
        <w:rPr>
          <w:rFonts w:ascii="Times New Roman" w:hAnsi="Times New Roman"/>
          <w:iCs/>
          <w:sz w:val="24"/>
          <w:szCs w:val="24"/>
        </w:rPr>
        <w:t xml:space="preserve"> Ensejar o retardamento da execução ou da entrega do objeto sem motivo justificado;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10</w:t>
      </w:r>
      <w:r>
        <w:rPr>
          <w:rFonts w:ascii="Times New Roman" w:hAnsi="Times New Roman"/>
          <w:b/>
          <w:bCs/>
          <w:iCs/>
          <w:sz w:val="24"/>
          <w:szCs w:val="24"/>
        </w:rPr>
        <w:t>.1.8</w:t>
      </w:r>
      <w:r>
        <w:rPr>
          <w:rFonts w:ascii="Times New Roman" w:hAnsi="Times New Roman"/>
          <w:iCs/>
          <w:sz w:val="24"/>
          <w:szCs w:val="24"/>
        </w:rPr>
        <w:t xml:space="preserve">. Apresentar declaração ou documentação falsa exigida para o certame ou prestar declaração falsa durante a dispensa </w:t>
      </w:r>
      <w:r>
        <w:rPr>
          <w:rFonts w:ascii="Times New Roman" w:hAnsi="Times New Roman"/>
          <w:iCs/>
          <w:sz w:val="24"/>
          <w:szCs w:val="24"/>
        </w:rPr>
        <w:t xml:space="preserve">eletrônica </w:t>
      </w:r>
      <w:r>
        <w:rPr>
          <w:rFonts w:ascii="Times New Roman" w:hAnsi="Times New Roman"/>
          <w:iCs/>
          <w:sz w:val="24"/>
          <w:szCs w:val="24"/>
        </w:rPr>
        <w:t>ou a execução do objeto.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10.1.9.</w:t>
      </w:r>
      <w:r>
        <w:rPr>
          <w:rFonts w:ascii="Times New Roman" w:hAnsi="Times New Roman"/>
          <w:iCs/>
          <w:sz w:val="24"/>
          <w:szCs w:val="24"/>
        </w:rPr>
        <w:t xml:space="preserve"> Fraudar a dispensa </w:t>
      </w:r>
      <w:r>
        <w:rPr>
          <w:rFonts w:ascii="Times New Roman" w:hAnsi="Times New Roman"/>
          <w:iCs/>
          <w:sz w:val="24"/>
          <w:szCs w:val="24"/>
        </w:rPr>
        <w:t xml:space="preserve">eletrônica </w:t>
      </w:r>
      <w:r>
        <w:rPr>
          <w:rFonts w:ascii="Times New Roman" w:hAnsi="Times New Roman"/>
          <w:iCs/>
          <w:sz w:val="24"/>
          <w:szCs w:val="24"/>
        </w:rPr>
        <w:t>ou praticar ato fraudulento na execução do objeto.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10</w:t>
      </w:r>
      <w:r>
        <w:rPr>
          <w:rFonts w:ascii="Times New Roman" w:hAnsi="Times New Roman"/>
          <w:b/>
          <w:bCs/>
          <w:iCs/>
          <w:sz w:val="24"/>
          <w:szCs w:val="24"/>
        </w:rPr>
        <w:t>.1.10.</w:t>
      </w:r>
      <w:r>
        <w:rPr>
          <w:rFonts w:ascii="Times New Roman" w:hAnsi="Times New Roman"/>
          <w:iCs/>
          <w:sz w:val="24"/>
          <w:szCs w:val="24"/>
        </w:rPr>
        <w:t xml:space="preserve"> Comportar-se de modo inidôneo ou cometer fraude de qualquer natureza.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10</w:t>
      </w:r>
      <w:r>
        <w:rPr>
          <w:rFonts w:ascii="Times New Roman" w:hAnsi="Times New Roman"/>
          <w:b/>
          <w:bCs/>
          <w:iCs/>
          <w:sz w:val="24"/>
          <w:szCs w:val="24"/>
        </w:rPr>
        <w:t>.1.10.1</w:t>
      </w:r>
      <w:r>
        <w:rPr>
          <w:rFonts w:ascii="Times New Roman" w:hAnsi="Times New Roman"/>
          <w:iCs/>
          <w:sz w:val="24"/>
          <w:szCs w:val="24"/>
        </w:rPr>
        <w:t>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10</w:t>
      </w:r>
      <w:r>
        <w:rPr>
          <w:rFonts w:ascii="Times New Roman" w:hAnsi="Times New Roman"/>
          <w:b/>
          <w:bCs/>
          <w:iCs/>
          <w:sz w:val="24"/>
          <w:szCs w:val="24"/>
        </w:rPr>
        <w:t>.1.11.</w:t>
      </w:r>
      <w:r>
        <w:rPr>
          <w:rFonts w:ascii="Times New Roman" w:hAnsi="Times New Roman"/>
          <w:iCs/>
          <w:sz w:val="24"/>
          <w:szCs w:val="24"/>
        </w:rPr>
        <w:t xml:space="preserve"> Praticar atos ilícitos com vistas a frustrar os objetivos deste certame.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10</w:t>
      </w:r>
      <w:r>
        <w:rPr>
          <w:rFonts w:ascii="Times New Roman" w:hAnsi="Times New Roman"/>
          <w:b/>
          <w:bCs/>
          <w:iCs/>
          <w:sz w:val="24"/>
          <w:szCs w:val="24"/>
        </w:rPr>
        <w:t>.1.12</w:t>
      </w:r>
      <w:r>
        <w:rPr>
          <w:rFonts w:ascii="Times New Roman" w:hAnsi="Times New Roman"/>
          <w:iCs/>
          <w:sz w:val="24"/>
          <w:szCs w:val="24"/>
        </w:rPr>
        <w:t>. Praticar ato lesivo previsto no art. 5º da Lei nº 12.846, de 1º de agosto de 2013.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10.1.13.</w:t>
      </w:r>
      <w:r>
        <w:rPr>
          <w:rFonts w:ascii="Times New Roman" w:hAnsi="Times New Roman"/>
          <w:iCs/>
          <w:sz w:val="24"/>
          <w:szCs w:val="24"/>
        </w:rPr>
        <w:t xml:space="preserve"> O fornecedor que cometer qualquer das infrações discriminadas nos subitens anteriores ficará sujeito, sem prejuízo da responsabilidade civil e criminal, às seguintes sanções:</w:t>
      </w:r>
    </w:p>
    <w:p>
      <w:pPr>
        <w:pStyle w:val="Normal"/>
        <w:spacing w:lineRule="auto" w:line="276"/>
        <w:jc w:val="both"/>
        <w:rPr>
          <w:iCs/>
        </w:rPr>
      </w:pPr>
      <w:r>
        <w:rPr>
          <w:rFonts w:ascii="Times New Roman" w:hAnsi="Times New Roman"/>
          <w:iCs/>
          <w:sz w:val="24"/>
          <w:szCs w:val="24"/>
        </w:rPr>
        <w:tab/>
        <w:t>a) Advertência pela falta do subitem 10.1.1 deste Termo de Referência, quando não se justificar a imposição de penalidade mais grave.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ab/>
        <w:t xml:space="preserve">b) Multa, calculada na forma do edital, com base no total do valor da contratação realizada de forma direta e será aplicada ao responsável por qualquer das infrações administrativas previstas no item 10.1 deste Termo de Referência, no percentual de 10% (dez por cento), na hipótese de cometimento das infrações previstas nos itens 10.1.1 a </w:t>
      </w:r>
      <w:r>
        <w:rPr>
          <w:rFonts w:ascii="Times New Roman" w:hAnsi="Times New Roman"/>
          <w:iCs/>
          <w:color w:val="000000"/>
          <w:sz w:val="24"/>
          <w:szCs w:val="24"/>
        </w:rPr>
        <w:t>10</w:t>
      </w:r>
      <w:r>
        <w:rPr>
          <w:rFonts w:ascii="Times New Roman" w:hAnsi="Times New Roman"/>
          <w:iCs/>
          <w:sz w:val="24"/>
          <w:szCs w:val="24"/>
        </w:rPr>
        <w:t>.1.7 e 20% (vinte por cento), se cometidas infrações previstas nos itens 10.1.8 a 10.1.12;</w:t>
      </w:r>
    </w:p>
    <w:p>
      <w:pPr>
        <w:pStyle w:val="Normal"/>
        <w:spacing w:lineRule="auto" w:line="276"/>
        <w:ind w:left="-57" w:hanging="0"/>
        <w:jc w:val="both"/>
        <w:rPr>
          <w:iCs/>
        </w:rPr>
      </w:pPr>
      <w:r>
        <w:rPr>
          <w:rFonts w:ascii="Times New Roman" w:hAnsi="Times New Roman"/>
          <w:iCs/>
          <w:sz w:val="24"/>
          <w:szCs w:val="24"/>
        </w:rPr>
        <w:tab/>
        <w:tab/>
        <w:tab/>
        <w:t>b.1) O valor da multa poderá ser descontado das faturas devidas à CONTRATADA;</w:t>
      </w:r>
    </w:p>
    <w:p>
      <w:pPr>
        <w:pStyle w:val="Normal"/>
        <w:spacing w:lineRule="auto" w:line="276"/>
        <w:jc w:val="both"/>
        <w:rPr>
          <w:iCs/>
        </w:rPr>
      </w:pPr>
      <w:r>
        <w:rPr>
          <w:rFonts w:ascii="Times New Roman" w:hAnsi="Times New Roman"/>
          <w:iCs/>
          <w:sz w:val="24"/>
          <w:szCs w:val="24"/>
        </w:rPr>
        <w:tab/>
        <w:tab/>
        <w:t>b.2) A multa pode ser aplicada isoladamente ou com as penalidades definidas nos itens “c” e “d” abaixo:</w:t>
      </w:r>
    </w:p>
    <w:p>
      <w:pPr>
        <w:pStyle w:val="Normal"/>
        <w:spacing w:lineRule="auto" w:line="276"/>
        <w:jc w:val="both"/>
        <w:rPr>
          <w:iCs/>
        </w:rPr>
      </w:pPr>
      <w:r>
        <w:rPr>
          <w:rFonts w:ascii="Times New Roman" w:hAnsi="Times New Roman"/>
          <w:iCs/>
          <w:sz w:val="24"/>
          <w:szCs w:val="24"/>
        </w:rPr>
        <w:tab/>
        <w:t>c) Impedimento de licitar e contratar no âmbito da Administração Pública direta e indireta do ente federativo que tiver aplicado a sanção, pelo prazo máximo de 03 (três) anos, nos casos dos subitens 10.1.2 a 10.1.7 deste Termo de Referência, quando não se justificar a imposição de penalidade mais grave.</w:t>
      </w:r>
    </w:p>
    <w:p>
      <w:pPr>
        <w:pStyle w:val="Normal"/>
        <w:spacing w:lineRule="auto" w:line="276"/>
        <w:jc w:val="both"/>
        <w:rPr>
          <w:iCs/>
        </w:rPr>
      </w:pPr>
      <w:r>
        <w:rPr>
          <w:rFonts w:ascii="Times New Roman" w:hAnsi="Times New Roman"/>
          <w:iCs/>
          <w:sz w:val="24"/>
          <w:szCs w:val="24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10.1.8 a 10.1.12, deste Termo de Referência.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10</w:t>
      </w:r>
      <w:r>
        <w:rPr>
          <w:rFonts w:ascii="Times New Roman" w:hAnsi="Times New Roman"/>
          <w:b/>
          <w:bCs/>
          <w:iCs/>
          <w:sz w:val="24"/>
          <w:szCs w:val="24"/>
        </w:rPr>
        <w:t>.3.</w:t>
      </w:r>
      <w:r>
        <w:rPr>
          <w:rFonts w:ascii="Times New Roman" w:hAnsi="Times New Roman"/>
          <w:iCs/>
          <w:sz w:val="24"/>
          <w:szCs w:val="24"/>
        </w:rPr>
        <w:t xml:space="preserve"> Na aplicação das sanções serão considerados: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10</w:t>
      </w:r>
      <w:r>
        <w:rPr>
          <w:rFonts w:ascii="Times New Roman" w:hAnsi="Times New Roman"/>
          <w:b/>
          <w:bCs/>
          <w:iCs/>
          <w:sz w:val="24"/>
          <w:szCs w:val="24"/>
        </w:rPr>
        <w:t>.3.1</w:t>
      </w:r>
      <w:r>
        <w:rPr>
          <w:rFonts w:ascii="Times New Roman" w:hAnsi="Times New Roman"/>
          <w:iCs/>
          <w:sz w:val="24"/>
          <w:szCs w:val="24"/>
        </w:rPr>
        <w:t>. A natureza e a gravidade da infração cometida.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10.3.2</w:t>
      </w:r>
      <w:r>
        <w:rPr>
          <w:rFonts w:ascii="Times New Roman" w:hAnsi="Times New Roman"/>
          <w:iCs/>
          <w:sz w:val="24"/>
          <w:szCs w:val="24"/>
        </w:rPr>
        <w:t>. As peculiaridades do caso concreto.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10.3.3.</w:t>
      </w:r>
      <w:r>
        <w:rPr>
          <w:rFonts w:ascii="Times New Roman" w:hAnsi="Times New Roman"/>
          <w:iCs/>
          <w:sz w:val="24"/>
          <w:szCs w:val="24"/>
        </w:rPr>
        <w:t xml:space="preserve"> As circunstâncias agravantes ou atenuantes.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10.3.4.</w:t>
      </w:r>
      <w:r>
        <w:rPr>
          <w:rFonts w:ascii="Times New Roman" w:hAnsi="Times New Roman"/>
          <w:iCs/>
          <w:sz w:val="24"/>
          <w:szCs w:val="24"/>
        </w:rPr>
        <w:t xml:space="preserve"> Os danos que dela provierem para a Autarquia.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10</w:t>
      </w:r>
      <w:r>
        <w:rPr>
          <w:rFonts w:ascii="Times New Roman" w:hAnsi="Times New Roman"/>
          <w:b/>
          <w:bCs/>
          <w:iCs/>
          <w:sz w:val="24"/>
          <w:szCs w:val="24"/>
        </w:rPr>
        <w:t>.3.5.</w:t>
      </w:r>
      <w:r>
        <w:rPr>
          <w:rFonts w:ascii="Times New Roman" w:hAnsi="Times New Roman"/>
          <w:iCs/>
          <w:sz w:val="24"/>
          <w:szCs w:val="24"/>
        </w:rPr>
        <w:t xml:space="preserve"> A implantação ou o aperfeiçoamento de programa de integridade, conforme normas e orientações dos órgãos de controle.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10.4.</w:t>
      </w:r>
      <w:r>
        <w:rPr>
          <w:rFonts w:ascii="Times New Roman" w:hAnsi="Times New Roman"/>
          <w:iCs/>
          <w:sz w:val="24"/>
          <w:szCs w:val="24"/>
        </w:rPr>
        <w:t xml:space="preserve"> Se a multa aplicada e as indenizações cabíveis forem superiores ao valor de pagamento eventualmente devido pela Autarquia à CONTRATADA, além da perda desse valor, a diferença será descontada da garantia prestada ou será cobrada judicialmente.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  <w:lang w:eastAsia="en-US"/>
        </w:rPr>
        <w:t>10.5</w:t>
      </w:r>
      <w:r>
        <w:rPr>
          <w:rFonts w:ascii="Times New Roman" w:hAnsi="Times New Roman"/>
          <w:iCs/>
          <w:sz w:val="24"/>
          <w:szCs w:val="24"/>
          <w:lang w:eastAsia="en-US"/>
        </w:rPr>
        <w:t>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>
      <w:pPr>
        <w:pStyle w:val="Normal"/>
        <w:spacing w:lineRule="auto" w:line="276"/>
        <w:jc w:val="both"/>
        <w:rPr>
          <w:rFonts w:ascii="Times New Roman" w:hAnsi="Times New Roman" w:cs="Arial"/>
          <w:b/>
          <w:b/>
          <w:sz w:val="24"/>
          <w:szCs w:val="24"/>
          <w:u w:val="single"/>
        </w:rPr>
      </w:pPr>
      <w:r>
        <w:rPr>
          <w:rFonts w:cs="Arial" w:ascii="Times New Roman" w:hAnsi="Times New Roman"/>
          <w:b/>
          <w:sz w:val="24"/>
          <w:szCs w:val="24"/>
          <w:u w:val="single"/>
        </w:rPr>
      </w:r>
    </w:p>
    <w:p>
      <w:pPr>
        <w:pStyle w:val="Normal"/>
        <w:spacing w:lineRule="auto" w:line="276"/>
        <w:ind w:left="-79" w:hanging="0"/>
        <w:jc w:val="both"/>
        <w:rPr>
          <w:b/>
          <w:b/>
          <w:bCs/>
          <w:shd w:fill="auto" w:val="clear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shd w:fill="auto" w:val="clear"/>
          <w:lang w:eastAsia="en-US"/>
        </w:rPr>
        <w:t>11. DA HABILITAÇÃO</w:t>
      </w:r>
    </w:p>
    <w:p>
      <w:pPr>
        <w:pStyle w:val="Normal"/>
        <w:spacing w:lineRule="auto" w:line="276"/>
        <w:ind w:left="-79" w:hanging="0"/>
        <w:jc w:val="both"/>
        <w:rPr>
          <w:rFonts w:ascii="Times New Roman" w:hAnsi="Times New Roman"/>
          <w:b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</w:r>
    </w:p>
    <w:p>
      <w:pPr>
        <w:pStyle w:val="Nivel01"/>
        <w:tabs>
          <w:tab w:val="left" w:pos="517" w:leader="none"/>
          <w:tab w:val="left" w:pos="567" w:leader="none"/>
          <w:tab w:val="left" w:pos="683" w:leader="none"/>
        </w:tabs>
        <w:spacing w:lineRule="auto" w:line="276" w:before="57" w:after="57"/>
        <w:ind w:left="-57" w:hanging="0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sz w:val="24"/>
          <w:szCs w:val="24"/>
          <w:lang w:eastAsia="ar-SA"/>
        </w:rPr>
        <w:t>11.1</w:t>
      </w:r>
      <w:r>
        <w:rPr>
          <w:rFonts w:cs="Verdana" w:ascii="Times New Roman" w:hAnsi="Times New Roman"/>
          <w:b w:val="false"/>
          <w:sz w:val="24"/>
          <w:szCs w:val="24"/>
          <w:lang w:eastAsia="ar-SA"/>
        </w:rPr>
        <w:t xml:space="preserve">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cs="Verdana"/>
          <w:lang w:eastAsia="ar-SA"/>
        </w:rPr>
      </w:pPr>
      <w:r>
        <w:rPr>
          <w:rFonts w:cs="Verdana" w:ascii="Times New Roman" w:hAnsi="Times New Roman"/>
          <w:sz w:val="24"/>
          <w:szCs w:val="24"/>
          <w:lang w:eastAsia="ar-SA"/>
        </w:rPr>
        <w:t>a) SICAF;</w:t>
      </w:r>
    </w:p>
    <w:p>
      <w:pPr>
        <w:pStyle w:val="ListParagraph"/>
        <w:spacing w:before="57" w:after="57"/>
        <w:ind w:left="0" w:hanging="0"/>
        <w:contextualSpacing/>
        <w:jc w:val="both"/>
        <w:rPr/>
      </w:pPr>
      <w:r>
        <w:rPr>
          <w:rFonts w:cs="Verdana" w:ascii="Times New Roman" w:hAnsi="Times New Roman"/>
          <w:sz w:val="24"/>
          <w:szCs w:val="24"/>
          <w:lang w:eastAsia="ar-SA"/>
        </w:rPr>
        <w:t xml:space="preserve">b) Cadastro Nacional de Empresas Inidôneas e Suspensas – CEIS, mantido pela </w:t>
      </w:r>
      <w:r>
        <w:rPr>
          <w:rFonts w:cs="Verdana" w:ascii="Times New Roman" w:hAnsi="Times New Roman"/>
          <w:color w:val="000000"/>
          <w:sz w:val="24"/>
          <w:szCs w:val="24"/>
          <w:lang w:eastAsia="ar-SA"/>
        </w:rPr>
        <w:t>Controladoria-Geral da União (</w:t>
      </w:r>
      <w:hyperlink r:id="rId3">
        <w:r>
          <w:rPr>
            <w:rFonts w:cs="Verdana" w:ascii="Times New Roman" w:hAnsi="Times New Roman"/>
            <w:color w:val="000000"/>
            <w:sz w:val="24"/>
            <w:szCs w:val="24"/>
            <w:lang w:eastAsia="ar-SA"/>
          </w:rPr>
          <w:t>www.portaldatransparencia.gov.br/ceis</w:t>
        </w:r>
      </w:hyperlink>
      <w:r>
        <w:rPr>
          <w:rFonts w:cs="Verdana" w:ascii="Times New Roman" w:hAnsi="Times New Roman"/>
          <w:color w:val="000000"/>
          <w:sz w:val="24"/>
          <w:szCs w:val="24"/>
          <w:lang w:eastAsia="ar-SA"/>
        </w:rPr>
        <w:t>);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 w:cs="Verdana"/>
          <w:color w:val="000000"/>
          <w:sz w:val="24"/>
          <w:szCs w:val="24"/>
          <w:lang w:eastAsia="ar-SA"/>
        </w:rPr>
      </w:pPr>
      <w:r>
        <w:rPr>
          <w:rFonts w:cs="Verdana" w:ascii="Times New Roman" w:hAnsi="Times New Roman"/>
          <w:color w:val="000000"/>
          <w:sz w:val="24"/>
          <w:szCs w:val="24"/>
          <w:lang w:eastAsia="ar-SA"/>
        </w:rPr>
        <w:t>c) Cadastro Nacional de Condenações Cíveis por Atos de Improbidade Administrativa, mantido pelo Conselho Nacional de Justiça (</w:t>
      </w:r>
      <w:hyperlink r:id="rId4">
        <w:r>
          <w:rPr>
            <w:rFonts w:cs="Verdana" w:ascii="Times New Roman" w:hAnsi="Times New Roman"/>
            <w:color w:val="000000"/>
            <w:sz w:val="24"/>
            <w:szCs w:val="24"/>
            <w:lang w:eastAsia="ar-SA"/>
          </w:rPr>
          <w:t>www.cnj.jus.br/improbidade_adm/consultar_requerido.php</w:t>
        </w:r>
      </w:hyperlink>
      <w:r>
        <w:rPr>
          <w:rFonts w:cs="Verdana" w:ascii="Times New Roman" w:hAnsi="Times New Roman"/>
          <w:color w:val="000000"/>
          <w:sz w:val="24"/>
          <w:szCs w:val="24"/>
          <w:lang w:eastAsia="ar-SA"/>
        </w:rPr>
        <w:t>).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cs="Verdana"/>
          <w:color w:val="000000"/>
          <w:lang w:eastAsia="ar-SA"/>
        </w:rPr>
      </w:pPr>
      <w:r>
        <w:rPr>
          <w:rFonts w:cs="Verdana" w:ascii="Times New Roman" w:hAnsi="Times New Roman"/>
          <w:color w:val="000000"/>
          <w:sz w:val="24"/>
          <w:szCs w:val="24"/>
          <w:lang w:eastAsia="ar-SA"/>
        </w:rPr>
        <w:t>d) Cadastro de Inidôneos e o Cadastro Integrado de Condenações por Ilícitos Administrativos – CADICON, mantidos pelo Tribunal de Contas da União – TCU;</w:t>
      </w:r>
    </w:p>
    <w:p>
      <w:pPr>
        <w:pStyle w:val="Nivel01"/>
        <w:tabs>
          <w:tab w:val="left" w:pos="517" w:leader="none"/>
          <w:tab w:val="left" w:pos="567" w:leader="none"/>
          <w:tab w:val="left" w:pos="683" w:leader="none"/>
        </w:tabs>
        <w:spacing w:lineRule="auto" w:line="276" w:before="57" w:after="57"/>
        <w:ind w:left="-57" w:hanging="0"/>
        <w:rPr>
          <w:rFonts w:ascii="Times New Roman" w:hAnsi="Times New Roman" w:cs="Verdana"/>
          <w:b w:val="false"/>
          <w:b w:val="false"/>
          <w:color w:val="000000"/>
          <w:sz w:val="24"/>
          <w:szCs w:val="24"/>
          <w:lang w:eastAsia="ar-SA"/>
        </w:rPr>
      </w:pPr>
      <w:r>
        <w:rPr>
          <w:rFonts w:cs="Verdana" w:ascii="Times New Roman" w:hAnsi="Times New Roman"/>
          <w:b w:val="false"/>
          <w:color w:val="000000"/>
          <w:sz w:val="24"/>
          <w:szCs w:val="24"/>
          <w:lang w:eastAsia="ar-SA"/>
        </w:rPr>
        <w:t>e) Cadastro de empresas inidôneas,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5">
        <w:r>
          <w:rPr>
            <w:rFonts w:cs="Verdana" w:ascii="Times New Roman" w:hAnsi="Times New Roman"/>
            <w:b w:val="false"/>
            <w:color w:val="000000"/>
            <w:sz w:val="24"/>
            <w:szCs w:val="24"/>
            <w:lang w:eastAsia="ar-SA"/>
          </w:rPr>
          <w:t>https://www.tcees.tc.br/portal-da-transparencia/consultas/lista-de</w:t>
        </w:r>
      </w:hyperlink>
      <w:r>
        <w:rPr>
          <w:rFonts w:cs="Verdana" w:ascii="Times New Roman" w:hAnsi="Times New Roman"/>
          <w:b w:val="false"/>
          <w:color w:val="000000"/>
          <w:sz w:val="24"/>
          <w:szCs w:val="24"/>
          <w:lang w:eastAsia="ar-SA"/>
        </w:rPr>
        <w:t xml:space="preserve"> responsáveis/proibidos-de-contratar/).</w:t>
      </w:r>
    </w:p>
    <w:p>
      <w:pPr>
        <w:pStyle w:val="Normal"/>
        <w:spacing w:lineRule="auto" w:line="276" w:before="57" w:after="57"/>
        <w:jc w:val="both"/>
        <w:rPr/>
      </w:pPr>
      <w:r>
        <w:rPr>
          <w:rFonts w:cs="Verdana" w:ascii="Times New Roman" w:hAnsi="Times New Roman"/>
          <w:b/>
          <w:bCs/>
          <w:sz w:val="24"/>
          <w:szCs w:val="24"/>
          <w:lang w:eastAsia="ar-SA"/>
        </w:rPr>
        <w:t>11.1.1.</w:t>
      </w:r>
      <w:r>
        <w:rPr>
          <w:rFonts w:cs="Verdana" w:ascii="Times New Roman" w:hAnsi="Times New Roman"/>
          <w:sz w:val="24"/>
          <w:szCs w:val="24"/>
          <w:lang w:eastAsia="ar-SA"/>
        </w:rPr>
        <w:t xml:space="preserve"> </w:t>
      </w:r>
      <w:r>
        <w:rPr>
          <w:rFonts w:cs="Verdana" w:ascii="Times New Roman" w:hAnsi="Times New Roman"/>
          <w:color w:val="000000"/>
          <w:sz w:val="24"/>
          <w:szCs w:val="24"/>
          <w:lang w:eastAsia="ar-SA"/>
        </w:rPr>
        <w:t>Para a consulta de licitantes pessoa jurídica poderá haver a substituição das consultas das alíneas “b”, “c” e “d” acima pela Consulta Consolidada de Pessoa Jurídica do TCU (</w:t>
      </w:r>
      <w:hyperlink r:id="rId6">
        <w:r>
          <w:rPr>
            <w:rFonts w:cs="Verdana" w:ascii="Times New Roman" w:hAnsi="Times New Roman"/>
            <w:color w:val="000000"/>
            <w:sz w:val="24"/>
            <w:szCs w:val="24"/>
            <w:lang w:eastAsia="ar-SA"/>
          </w:rPr>
          <w:t>https://certidoesapf.apps.tcu.gov.br/</w:t>
        </w:r>
      </w:hyperlink>
      <w:r>
        <w:rPr>
          <w:rFonts w:cs="Verdana" w:ascii="Times New Roman" w:hAnsi="Times New Roman"/>
          <w:color w:val="000000"/>
          <w:sz w:val="24"/>
          <w:szCs w:val="24"/>
          <w:lang w:eastAsia="ar-SA"/>
        </w:rPr>
        <w:t>);</w:t>
      </w:r>
    </w:p>
    <w:p>
      <w:pPr>
        <w:pStyle w:val="Normal"/>
        <w:spacing w:lineRule="auto" w:line="276" w:before="57" w:after="57"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.1.2. </w:t>
      </w:r>
      <w:r>
        <w:rPr>
          <w:rFonts w:cs="Verdana" w:ascii="Times New Roman" w:hAnsi="Times New Roman"/>
          <w:color w:val="000000"/>
          <w:sz w:val="24"/>
          <w:szCs w:val="24"/>
        </w:rPr>
        <w:t>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.1.2.1. </w:t>
      </w:r>
      <w:r>
        <w:rPr>
          <w:rFonts w:cs="Verdana" w:ascii="Times New Roman" w:hAnsi="Times New Roman"/>
          <w:color w:val="000000"/>
          <w:sz w:val="24"/>
          <w:szCs w:val="24"/>
        </w:rPr>
        <w:t>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.1.2.2.</w:t>
      </w:r>
      <w:r>
        <w:rPr>
          <w:rFonts w:cs="Verdana" w:ascii="Times New Roman" w:hAnsi="Times New Roman"/>
          <w:color w:val="000000"/>
          <w:sz w:val="24"/>
          <w:szCs w:val="24"/>
        </w:rPr>
        <w:t xml:space="preserve"> A tentativa de burla será verificada por meio dos vínculos societários, linhas de fornecimento similares, dentre outros.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.1.2.3. </w:t>
      </w:r>
      <w:r>
        <w:rPr>
          <w:rFonts w:cs="Verdana" w:ascii="Times New Roman" w:hAnsi="Times New Roman"/>
          <w:color w:val="000000"/>
          <w:sz w:val="24"/>
          <w:szCs w:val="24"/>
        </w:rPr>
        <w:t>O licitante será convocado para manifestação previamente à sua desclassificação.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.1.3 </w:t>
      </w:r>
      <w:r>
        <w:rPr>
          <w:rFonts w:cs="Verdana" w:ascii="Times New Roman" w:hAnsi="Times New Roman"/>
          <w:color w:val="000000"/>
          <w:sz w:val="24"/>
          <w:szCs w:val="24"/>
        </w:rPr>
        <w:t>Constatada a existência de sanção, o Pregoeiro reputará o licitante inabilitado, por falta de condição de participação.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.1.4. </w:t>
      </w:r>
      <w:r>
        <w:rPr>
          <w:rFonts w:cs="Verdana" w:ascii="Times New Roman" w:hAnsi="Times New Roman"/>
          <w:color w:val="000000"/>
          <w:sz w:val="24"/>
          <w:szCs w:val="24"/>
        </w:rPr>
        <w:t>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>
      <w:pPr>
        <w:pStyle w:val="ListParagraph"/>
        <w:tabs>
          <w:tab w:val="clear" w:pos="708"/>
          <w:tab w:val="left" w:pos="567" w:leader="none"/>
        </w:tabs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sz w:val="24"/>
          <w:szCs w:val="24"/>
          <w:lang w:eastAsia="ar-SA"/>
        </w:rPr>
        <w:t>1</w:t>
      </w:r>
      <w:r>
        <w:rPr>
          <w:rFonts w:cs="Verdana" w:ascii="Times New Roman" w:hAnsi="Times New Roman"/>
          <w:b/>
          <w:bCs/>
          <w:sz w:val="24"/>
          <w:szCs w:val="24"/>
          <w:lang w:eastAsia="ar-SA"/>
        </w:rPr>
        <w:t>1</w:t>
      </w:r>
      <w:r>
        <w:rPr>
          <w:rFonts w:cs="Verdana" w:ascii="Times New Roman" w:hAnsi="Times New Roman"/>
          <w:b/>
          <w:bCs/>
          <w:sz w:val="24"/>
          <w:szCs w:val="24"/>
          <w:lang w:eastAsia="ar-SA"/>
        </w:rPr>
        <w:t xml:space="preserve">.2. </w:t>
      </w:r>
      <w:r>
        <w:rPr>
          <w:rFonts w:cs="Verdana" w:ascii="Times New Roman" w:hAnsi="Times New Roman"/>
          <w:color w:val="000000"/>
          <w:sz w:val="24"/>
          <w:szCs w:val="24"/>
        </w:rPr>
        <w:t xml:space="preserve">Caso atendidas as condições de participação, </w:t>
      </w:r>
      <w:r>
        <w:rPr>
          <w:rFonts w:cs="Verdana" w:ascii="Times New Roman" w:hAnsi="Times New Roman"/>
          <w:sz w:val="24"/>
          <w:szCs w:val="24"/>
        </w:rPr>
        <w:t>a habilitação dos licitantes será verificada por meio do SICAF, nos documentos por ele abrangidos</w:t>
      </w:r>
      <w:r>
        <w:rPr>
          <w:rFonts w:cs="Verdana" w:ascii="Times New Roman" w:hAnsi="Times New Roman"/>
          <w:sz w:val="24"/>
          <w:szCs w:val="24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cs="Verdana"/>
          <w:lang w:eastAsia="ar-SA"/>
        </w:rPr>
      </w:pPr>
      <w:r>
        <w:rPr>
          <w:rFonts w:cs="Verdana" w:ascii="Times New Roman" w:hAnsi="Times New Roman"/>
          <w:sz w:val="24"/>
          <w:szCs w:val="24"/>
          <w:lang w:eastAsia="ar-SA"/>
        </w:rPr>
        <w:t>12.2..1.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.2.2. </w:t>
      </w:r>
      <w:r>
        <w:rPr>
          <w:rFonts w:cs="Verdana" w:ascii="Times New Roman" w:hAnsi="Times New Roman"/>
          <w:color w:val="000000"/>
          <w:sz w:val="24"/>
          <w:szCs w:val="24"/>
        </w:rPr>
        <w:t>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.2.3. </w:t>
      </w:r>
      <w:r>
        <w:rPr>
          <w:rFonts w:cs="Verdana" w:ascii="Times New Roman" w:hAnsi="Times New Roman"/>
          <w:color w:val="000000"/>
          <w:sz w:val="24"/>
          <w:szCs w:val="24"/>
        </w:rPr>
        <w:t>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.3.</w:t>
      </w:r>
      <w:r>
        <w:rPr>
          <w:rFonts w:cs="Verdana" w:ascii="Times New Roman" w:hAnsi="Times New Roman"/>
          <w:color w:val="000000"/>
          <w:sz w:val="24"/>
          <w:szCs w:val="24"/>
        </w:rPr>
        <w:t xml:space="preserve">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sz w:val="24"/>
          <w:szCs w:val="24"/>
        </w:rPr>
        <w:t>.4.</w:t>
      </w:r>
      <w:r>
        <w:rPr>
          <w:rFonts w:cs="Verdana" w:ascii="Times New Roman" w:hAnsi="Times New Roman"/>
          <w:sz w:val="24"/>
          <w:szCs w:val="24"/>
        </w:rPr>
        <w:t xml:space="preserve"> Somente haverá a necessidade de comprovação do preenchimento de requisitos mediante apresentação dos documentos originais não-digitais quando houver dúvida em relação à integridade do documento digital.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sz w:val="24"/>
          <w:szCs w:val="24"/>
        </w:rPr>
        <w:t>.5.</w:t>
      </w:r>
      <w:r>
        <w:rPr>
          <w:rFonts w:cs="Verdana" w:ascii="Times New Roman" w:hAnsi="Times New Roman"/>
          <w:sz w:val="24"/>
          <w:szCs w:val="24"/>
        </w:rPr>
        <w:t xml:space="preserve"> Não serão aceitos documentos de habilitação com indicação de CNPJ/CPF diferentes, salvo aqueles legalmente permitidos.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sz w:val="24"/>
          <w:szCs w:val="24"/>
        </w:rPr>
        <w:t xml:space="preserve">.6. </w:t>
      </w:r>
      <w:r>
        <w:rPr>
          <w:rFonts w:cs="Verdana" w:ascii="Times New Roman" w:hAnsi="Times New Roman"/>
          <w:sz w:val="24"/>
          <w:szCs w:val="24"/>
        </w:rPr>
        <w:t>Serão aceitos registros de CNPJ de licitante matriz e filial com diferenças de números de documentos pertinentes ao CND e ao CRF/FGTS, quando for comprovada a centralização do recolhimento dessas contribuições.</w:t>
      </w:r>
    </w:p>
    <w:p>
      <w:pPr>
        <w:pStyle w:val="PADRO"/>
        <w:widowControl/>
        <w:tabs>
          <w:tab w:val="clear" w:pos="708"/>
          <w:tab w:val="left" w:pos="567" w:leader="none"/>
        </w:tabs>
        <w:spacing w:before="57" w:after="57"/>
        <w:ind w:hanging="0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.7. </w:t>
      </w:r>
      <w:r>
        <w:rPr>
          <w:rFonts w:cs="Verdana" w:ascii="Times New Roman" w:hAnsi="Times New Roman"/>
          <w:color w:val="000000"/>
          <w:sz w:val="24"/>
          <w:szCs w:val="24"/>
        </w:rPr>
        <w:t>Os licitantes deverão encaminhar, nos termos deste Edital, a documentação relacionada nos itens a seguir, para fins de habilitação:</w:t>
      </w:r>
    </w:p>
    <w:p>
      <w:pPr>
        <w:pStyle w:val="PADRO"/>
        <w:widowControl/>
        <w:tabs>
          <w:tab w:val="clear" w:pos="708"/>
          <w:tab w:val="left" w:pos="567" w:leader="none"/>
        </w:tabs>
        <w:spacing w:before="0" w:after="0"/>
        <w:ind w:hanging="0"/>
        <w:rPr>
          <w:rFonts w:ascii="Times New Roman" w:hAnsi="Times New Roman" w:cs="Arial"/>
          <w:b/>
          <w:b/>
          <w:sz w:val="24"/>
          <w:szCs w:val="24"/>
          <w:u w:val="single"/>
        </w:rPr>
      </w:pPr>
      <w:r>
        <w:rPr>
          <w:rFonts w:cs="Arial" w:ascii="Times New Roman" w:hAnsi="Times New Roman"/>
          <w:b/>
          <w:sz w:val="24"/>
          <w:szCs w:val="24"/>
          <w:u w:val="single"/>
        </w:rPr>
      </w:r>
    </w:p>
    <w:p>
      <w:pPr>
        <w:pStyle w:val="ListParagraph"/>
        <w:spacing w:before="0" w:after="0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.8. Habilitação jurídica: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.8.1. </w:t>
      </w:r>
      <w:r>
        <w:rPr>
          <w:rFonts w:cs="Verdana" w:ascii="Times New Roman" w:hAnsi="Times New Roman"/>
          <w:color w:val="000000"/>
          <w:sz w:val="24"/>
          <w:szCs w:val="24"/>
        </w:rPr>
        <w:t>No caso de empresário individual: inscrição no Registro Público de Empresas Mercantis, a cargo da Junta Comercial da respectiva sede;</w:t>
      </w:r>
    </w:p>
    <w:p>
      <w:pPr>
        <w:pStyle w:val="ListParagraph"/>
        <w:spacing w:before="57" w:after="57"/>
        <w:ind w:left="0" w:hanging="0"/>
        <w:contextualSpacing/>
        <w:jc w:val="both"/>
        <w:rPr/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.8.2. </w:t>
      </w:r>
      <w:r>
        <w:rPr>
          <w:rFonts w:cs="Verdana" w:ascii="Times New Roman" w:hAnsi="Times New Roman"/>
          <w:color w:val="000000"/>
          <w:sz w:val="24"/>
          <w:szCs w:val="24"/>
        </w:rPr>
        <w:t>Em se tratando de microempreendedor individual – MEI: Certificado da Condição de Microempreendedor Individual – CCMEI, cuja aceitação ficará condicionada à verificação da autenticidade no síti</w:t>
      </w:r>
      <w:r>
        <w:rPr>
          <w:rFonts w:cs="Verdana" w:ascii="Times New Roman" w:hAnsi="Times New Roman"/>
          <w:color w:val="000000"/>
          <w:sz w:val="24"/>
          <w:szCs w:val="24"/>
          <w:u w:val="single"/>
        </w:rPr>
        <w:t xml:space="preserve">o </w:t>
      </w:r>
      <w:hyperlink r:id="rId7">
        <w:r>
          <w:rPr>
            <w:rFonts w:cs="Verdana" w:ascii="Times New Roman" w:hAnsi="Times New Roman"/>
            <w:color w:val="000000"/>
            <w:sz w:val="24"/>
            <w:szCs w:val="24"/>
            <w:u w:val="single"/>
          </w:rPr>
          <w:t>www.portaldoempreendedor.gov.br</w:t>
        </w:r>
      </w:hyperlink>
      <w:r>
        <w:rPr>
          <w:rFonts w:cs="Verdana" w:ascii="Times New Roman" w:hAnsi="Times New Roman"/>
          <w:color w:val="000000"/>
          <w:sz w:val="24"/>
          <w:szCs w:val="24"/>
          <w:u w:val="single"/>
        </w:rPr>
        <w:t>;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.8.3. </w:t>
      </w:r>
      <w:r>
        <w:rPr>
          <w:rFonts w:cs="Verdana" w:ascii="Times New Roman" w:hAnsi="Times New Roman"/>
          <w:color w:val="000000"/>
          <w:sz w:val="24"/>
          <w:szCs w:val="24"/>
        </w:rPr>
        <w:t>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.8.4. </w:t>
      </w:r>
      <w:r>
        <w:rPr>
          <w:rFonts w:cs="Verdana" w:ascii="Times New Roman" w:hAnsi="Times New Roman"/>
          <w:color w:val="000000"/>
          <w:sz w:val="24"/>
          <w:szCs w:val="24"/>
        </w:rPr>
        <w:t>Inscrição no Registro Público de Empresas Mercantis onde opera, com averbação no Registro onde tem sede a matriz, no caso de ser o participante sucursal, filial ou agência;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.8.5.</w:t>
      </w:r>
      <w:r>
        <w:rPr>
          <w:rFonts w:cs="Verdana" w:ascii="Times New Roman" w:hAnsi="Times New Roman"/>
          <w:color w:val="000000"/>
          <w:sz w:val="24"/>
          <w:szCs w:val="24"/>
        </w:rPr>
        <w:t xml:space="preserve"> No caso de sociedade simples: inscrição do ato constitutivo no Registro Civil das Pessoas Jurídicas do local de sua sede, acompanhada de prova da indicação dos seus administradores;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.8.6. </w:t>
      </w:r>
      <w:r>
        <w:rPr>
          <w:rFonts w:cs="Verdana" w:ascii="Times New Roman" w:hAnsi="Times New Roman"/>
          <w:color w:val="000000"/>
          <w:sz w:val="24"/>
          <w:szCs w:val="24"/>
        </w:rPr>
        <w:t>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.8.7. </w:t>
      </w:r>
      <w:r>
        <w:rPr>
          <w:rFonts w:cs="Verdana" w:ascii="Times New Roman" w:hAnsi="Times New Roman"/>
          <w:color w:val="000000"/>
          <w:sz w:val="24"/>
          <w:szCs w:val="24"/>
        </w:rPr>
        <w:t>No caso de empresa ou sociedade estrangeira em funcionamento no País: decreto de autorização;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.8.8. </w:t>
      </w:r>
      <w:r>
        <w:rPr>
          <w:rFonts w:cs="Verdana" w:ascii="Times New Roman" w:hAnsi="Times New Roman"/>
          <w:bCs/>
          <w:color w:val="000000"/>
          <w:sz w:val="24"/>
          <w:szCs w:val="24"/>
        </w:rPr>
        <w:t>Os documentos acima deverão estar acompanhados de todas as alterações ou da consolidação respectiva;</w:t>
      </w:r>
    </w:p>
    <w:p>
      <w:pPr>
        <w:pStyle w:val="ListParagraph"/>
        <w:ind w:left="0" w:hanging="0"/>
        <w:jc w:val="both"/>
        <w:rPr>
          <w:rFonts w:ascii="Times New Roman" w:hAnsi="Times New Roman" w:cs="Arial"/>
          <w:b/>
          <w:b/>
          <w:sz w:val="24"/>
          <w:szCs w:val="24"/>
          <w:u w:val="single"/>
        </w:rPr>
      </w:pPr>
      <w:r>
        <w:rPr>
          <w:rFonts w:cs="Arial" w:ascii="Times New Roman" w:hAnsi="Times New Roman"/>
          <w:b/>
          <w:sz w:val="24"/>
          <w:szCs w:val="24"/>
          <w:u w:val="single"/>
        </w:rPr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color w:val="000000"/>
          <w:sz w:val="24"/>
          <w:szCs w:val="24"/>
        </w:rPr>
        <w:t>.9. Qualificação Econômico-Financeira</w:t>
      </w:r>
      <w:r>
        <w:rPr>
          <w:rFonts w:cs="Verdana" w:ascii="Times New Roman" w:hAnsi="Times New Roman"/>
          <w:color w:val="000000"/>
          <w:sz w:val="24"/>
          <w:szCs w:val="24"/>
        </w:rPr>
        <w:t>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.9.1. </w:t>
      </w:r>
      <w:r>
        <w:rPr>
          <w:rFonts w:cs="Verdana" w:ascii="Times New Roman" w:hAnsi="Times New Roman"/>
          <w:color w:val="000000"/>
          <w:sz w:val="24"/>
          <w:szCs w:val="24"/>
        </w:rPr>
        <w:t>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.9.2. </w:t>
      </w:r>
      <w:r>
        <w:rPr>
          <w:rFonts w:cs="Verdana" w:ascii="Times New Roman" w:hAnsi="Times New Roman"/>
          <w:color w:val="000000"/>
          <w:sz w:val="24"/>
          <w:szCs w:val="24"/>
        </w:rPr>
        <w:t>Havendo algum prazo de validade estabelecido por cartório na certidão citada na letra anterior, será considerado o prazo constante da certidão para comprovação da sua validade.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sz w:val="24"/>
          <w:szCs w:val="24"/>
        </w:rPr>
        <w:t>1</w:t>
      </w:r>
      <w:r>
        <w:rPr>
          <w:rFonts w:cs="Verdana" w:ascii="Times New Roman" w:hAnsi="Times New Roman"/>
          <w:b/>
          <w:bCs/>
          <w:sz w:val="24"/>
          <w:szCs w:val="24"/>
        </w:rPr>
        <w:t xml:space="preserve">.9.3. </w:t>
      </w:r>
      <w:r>
        <w:rPr>
          <w:rFonts w:cs="Verdana" w:ascii="Times New Roman" w:hAnsi="Times New Roman"/>
          <w:sz w:val="24"/>
          <w:szCs w:val="24"/>
        </w:rPr>
        <w:t>Para a contagem do prazo estabelecido na letra “a” deste capítulo, será contado a partir do primeiro dia que antecede a data da realização desta dispensa de licitação.</w:t>
      </w:r>
    </w:p>
    <w:p>
      <w:pPr>
        <w:pStyle w:val="Normal"/>
        <w:spacing w:lineRule="auto" w:line="276" w:before="57" w:after="57"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iCs/>
          <w:color w:val="000000"/>
          <w:sz w:val="24"/>
          <w:szCs w:val="24"/>
          <w:lang w:eastAsia="en-US"/>
        </w:rPr>
        <w:t>1</w:t>
      </w:r>
      <w:r>
        <w:rPr>
          <w:rFonts w:cs="Verdana" w:ascii="Times New Roman" w:hAnsi="Times New Roman"/>
          <w:b/>
          <w:bCs/>
          <w:iCs/>
          <w:color w:val="000000"/>
          <w:sz w:val="24"/>
          <w:szCs w:val="24"/>
          <w:lang w:eastAsia="en-US"/>
        </w:rPr>
        <w:t>1</w:t>
      </w:r>
      <w:r>
        <w:rPr>
          <w:rFonts w:cs="Verdana" w:ascii="Times New Roman" w:hAnsi="Times New Roman"/>
          <w:b/>
          <w:bCs/>
          <w:iCs/>
          <w:color w:val="000000"/>
          <w:sz w:val="24"/>
          <w:szCs w:val="24"/>
          <w:lang w:eastAsia="en-US"/>
        </w:rPr>
        <w:t xml:space="preserve">.9.4. </w:t>
      </w:r>
      <w:r>
        <w:rPr>
          <w:rFonts w:cs="Verdana" w:ascii="Times New Roman" w:hAnsi="Times New Roman"/>
          <w:b w:val="false"/>
          <w:bCs w:val="false"/>
          <w:iCs/>
          <w:color w:val="000000"/>
          <w:sz w:val="24"/>
          <w:szCs w:val="24"/>
          <w:lang w:eastAsia="en-US"/>
        </w:rPr>
        <w:t>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>
      <w:pPr>
        <w:pStyle w:val="Normal"/>
        <w:spacing w:lineRule="auto" w:line="276" w:before="57" w:after="57"/>
        <w:jc w:val="both"/>
        <w:rPr>
          <w:rFonts w:cs="Verdana"/>
          <w:b w:val="false"/>
          <w:b w:val="false"/>
          <w:bCs w:val="false"/>
          <w:iCs/>
          <w:color w:val="000000"/>
          <w:lang w:eastAsia="en-US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Times New Roman" w:hAnsi="Times New Roman" w:cs="Arial"/>
          <w:b/>
          <w:b/>
          <w:bCs/>
          <w:color w:val="000000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76"/>
        <w:rPr>
          <w:b/>
          <w:b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>12.  ADEQUAÇÃO ORÇAMENTÁRIA</w:t>
      </w:r>
    </w:p>
    <w:p>
      <w:pPr>
        <w:pStyle w:val="ListParagraph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12.1. </w:t>
      </w:r>
      <w:r>
        <w:rPr>
          <w:rFonts w:ascii="Times New Roman" w:hAnsi="Times New Roman"/>
          <w:sz w:val="24"/>
          <w:szCs w:val="24"/>
        </w:rPr>
        <w:t>As despesas decorrentes da presente contratação correrão à conta de recursos específicos consignados na Lei Orçamentária Anual, bem como requisição do sistema presente nos autos, sendo a contratação atendida pela seguinte dotação:</w:t>
      </w:r>
    </w:p>
    <w:p>
      <w:pPr>
        <w:pStyle w:val="Normal"/>
        <w:numPr>
          <w:ilvl w:val="0"/>
          <w:numId w:val="1"/>
        </w:numPr>
        <w:spacing w:lineRule="auto" w:line="276"/>
        <w:ind w:left="0" w:hanging="0"/>
        <w:jc w:val="both"/>
        <w:rPr>
          <w:rFonts w:cs="Arial"/>
        </w:rPr>
      </w:pPr>
      <w:r>
        <w:rPr>
          <w:rFonts w:cs="Arial" w:ascii="Times New Roman" w:hAnsi="Times New Roman"/>
          <w:sz w:val="24"/>
          <w:szCs w:val="24"/>
        </w:rPr>
        <w:t>FICHA – FONTE: 0000651-180200000000.</w:t>
      </w:r>
    </w:p>
    <w:p>
      <w:pPr>
        <w:pStyle w:val="Normal"/>
        <w:spacing w:lineRule="auto" w:line="276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cs="Arial"/>
          <w:b/>
          <w:b/>
          <w:bCs/>
          <w:color w:val="000000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13. DO RESPONSÁVEL PELA ELABORAÇÃO DO TERMO DE REFERÊNCIA</w:t>
      </w:r>
    </w:p>
    <w:p>
      <w:pPr>
        <w:pStyle w:val="Normal"/>
        <w:spacing w:lineRule="auto" w:line="276" w:before="0" w:after="36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13.1</w:t>
      </w:r>
      <w:bookmarkStart w:id="13" w:name="page66R_mcid16"/>
      <w:r>
        <w:rPr>
          <w:rFonts w:cs="Arial" w:ascii="Times New Roman" w:hAnsi="Times New Roman"/>
          <w:color w:val="000000"/>
          <w:sz w:val="24"/>
          <w:szCs w:val="24"/>
        </w:rPr>
        <w:t>. A elaboração deste Termo de Referência foi estruturada através do DFD – Documento de Formalização de Demanda elaborado pelo requisitante.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São Gabriel da Palha, </w:t>
      </w:r>
      <w:r>
        <w:rPr>
          <w:rFonts w:ascii="Times New Roman" w:hAnsi="Times New Roman"/>
          <w:sz w:val="24"/>
          <w:szCs w:val="24"/>
        </w:rPr>
        <w:t xml:space="preserve">18 de julho </w:t>
      </w:r>
      <w:r>
        <w:rPr>
          <w:rFonts w:ascii="Times New Roman" w:hAnsi="Times New Roman"/>
          <w:sz w:val="24"/>
          <w:szCs w:val="24"/>
        </w:rPr>
        <w:t>de 2024.</w:t>
      </w:r>
    </w:p>
    <w:p>
      <w:pPr>
        <w:pStyle w:val="Normal"/>
        <w:spacing w:lineRule="auto" w:line="276"/>
        <w:jc w:val="right"/>
        <w:rPr>
          <w:rFonts w:ascii="Times New Roman" w:hAnsi="Times New Roman" w:cs="Arial"/>
          <w:b/>
          <w:b/>
          <w:sz w:val="24"/>
          <w:szCs w:val="24"/>
          <w:u w:val="single"/>
        </w:rPr>
      </w:pPr>
      <w:r>
        <w:rPr>
          <w:rFonts w:cs="Arial" w:ascii="Times New Roman" w:hAnsi="Times New Roman"/>
          <w:b/>
          <w:sz w:val="24"/>
          <w:szCs w:val="24"/>
          <w:u w:val="single"/>
        </w:rPr>
      </w:r>
    </w:p>
    <w:p>
      <w:pPr>
        <w:pStyle w:val="Normal"/>
        <w:spacing w:lineRule="auto" w:line="276"/>
        <w:jc w:val="both"/>
        <w:rPr>
          <w:rFonts w:cs="Arial"/>
          <w:b/>
          <w:b/>
          <w:bCs/>
        </w:rPr>
      </w:pPr>
      <w:r>
        <w:rPr>
          <w:rFonts w:cs="Arial" w:ascii="Times New Roman" w:hAnsi="Times New Roman"/>
          <w:b/>
          <w:bCs/>
          <w:sz w:val="24"/>
          <w:szCs w:val="24"/>
        </w:rPr>
        <w:t>Elaborado por:</w:t>
      </w:r>
    </w:p>
    <w:p>
      <w:pPr>
        <w:pStyle w:val="Normal"/>
        <w:spacing w:lineRule="auto" w:line="276"/>
        <w:jc w:val="both"/>
        <w:rPr>
          <w:rFonts w:ascii="Times New Roman" w:hAnsi="Times New Roman" w:cs="Arial"/>
          <w:b/>
          <w:b/>
          <w:sz w:val="24"/>
          <w:szCs w:val="24"/>
          <w:u w:val="single"/>
        </w:rPr>
      </w:pPr>
      <w:r>
        <w:rPr>
          <w:rFonts w:cs="Arial" w:ascii="Times New Roman" w:hAnsi="Times New Roman"/>
          <w:b/>
          <w:sz w:val="24"/>
          <w:szCs w:val="24"/>
          <w:u w:val="single"/>
        </w:rPr>
      </w:r>
    </w:p>
    <w:p>
      <w:pPr>
        <w:pStyle w:val="Normal"/>
        <w:spacing w:lineRule="auto" w:line="276"/>
        <w:jc w:val="both"/>
        <w:rPr>
          <w:rFonts w:ascii="Times New Roman" w:hAnsi="Times New Roman" w:cs="Arial"/>
          <w:b/>
          <w:b/>
          <w:sz w:val="24"/>
          <w:szCs w:val="24"/>
          <w:u w:val="single"/>
        </w:rPr>
      </w:pPr>
      <w:r>
        <w:rPr>
          <w:rFonts w:cs="Arial" w:ascii="Times New Roman" w:hAnsi="Times New Roman"/>
          <w:b/>
          <w:sz w:val="24"/>
          <w:szCs w:val="24"/>
          <w:u w:val="single"/>
        </w:rPr>
      </w:r>
    </w:p>
    <w:p>
      <w:pPr>
        <w:pStyle w:val="Normal"/>
        <w:spacing w:lineRule="auto" w:line="276"/>
        <w:jc w:val="both"/>
        <w:rPr>
          <w:rFonts w:ascii="Times New Roman" w:hAnsi="Times New Roman" w:cs="Arial"/>
          <w:b/>
          <w:b/>
          <w:sz w:val="24"/>
          <w:szCs w:val="24"/>
          <w:u w:val="single"/>
        </w:rPr>
      </w:pPr>
      <w:r>
        <w:rPr>
          <w:rFonts w:cs="Arial" w:ascii="Times New Roman" w:hAnsi="Times New Roman"/>
          <w:b/>
          <w:sz w:val="24"/>
          <w:szCs w:val="24"/>
          <w:u w:val="single"/>
        </w:rPr>
      </w:r>
    </w:p>
    <w:p>
      <w:pPr>
        <w:pStyle w:val="Normal"/>
        <w:spacing w:lineRule="auto" w:line="276"/>
        <w:jc w:val="both"/>
        <w:rPr>
          <w:rFonts w:ascii="Times New Roman" w:hAnsi="Times New Roman" w:cs="Arial"/>
          <w:b/>
          <w:b/>
          <w:sz w:val="24"/>
          <w:szCs w:val="24"/>
          <w:u w:val="single"/>
        </w:rPr>
      </w:pPr>
      <w:r>
        <w:rPr>
          <w:rFonts w:cs="Arial" w:ascii="Times New Roman" w:hAnsi="Times New Roman"/>
          <w:b/>
          <w:sz w:val="24"/>
          <w:szCs w:val="24"/>
          <w:u w:val="single"/>
        </w:rPr>
      </w:r>
    </w:p>
    <w:p>
      <w:pPr>
        <w:pStyle w:val="Normal"/>
        <w:widowControl w:val="false"/>
        <w:suppressAutoHyphens w:val="true"/>
        <w:spacing w:lineRule="auto" w:line="276" w:before="0" w:after="0"/>
        <w:jc w:val="center"/>
        <w:rPr>
          <w:kern w:val="0"/>
          <w:lang w:val="pt-BR" w:bidi="ar-SA"/>
        </w:rPr>
      </w:pPr>
      <w:r>
        <w:rPr>
          <w:rFonts w:ascii="Times New Roman" w:hAnsi="Times New Roman"/>
          <w:kern w:val="0"/>
          <w:sz w:val="24"/>
          <w:szCs w:val="24"/>
          <w:lang w:val="pt-BR" w:bidi="ar-SA"/>
        </w:rPr>
        <w:t>VALTER BONATTO</w:t>
      </w:r>
    </w:p>
    <w:p>
      <w:pPr>
        <w:pStyle w:val="Normal"/>
        <w:widowControl w:val="false"/>
        <w:suppressAutoHyphens w:val="true"/>
        <w:spacing w:lineRule="auto" w:line="276" w:before="0" w:after="0"/>
        <w:jc w:val="center"/>
        <w:rPr>
          <w:kern w:val="0"/>
          <w:lang w:val="pt-BR" w:bidi="ar-SA"/>
        </w:rPr>
      </w:pPr>
      <w:r>
        <w:rPr>
          <w:rFonts w:ascii="Times New Roman" w:hAnsi="Times New Roman"/>
          <w:kern w:val="0"/>
          <w:sz w:val="24"/>
          <w:szCs w:val="24"/>
          <w:lang w:val="pt-BR" w:bidi="ar-SA"/>
        </w:rPr>
        <w:t>Responsável pela elaboração do Termo de Referência</w:t>
      </w:r>
    </w:p>
    <w:p>
      <w:pPr>
        <w:pStyle w:val="Normal"/>
        <w:widowControl w:val="false"/>
        <w:suppressAutoHyphens w:val="true"/>
        <w:spacing w:lineRule="auto" w:line="276" w:before="0" w:after="0"/>
        <w:jc w:val="center"/>
        <w:rPr>
          <w:kern w:val="0"/>
          <w:lang w:val="pt-BR" w:bidi="ar-SA"/>
        </w:rPr>
      </w:pPr>
      <w:r>
        <w:rPr>
          <w:rFonts w:ascii="Times New Roman" w:hAnsi="Times New Roman"/>
          <w:kern w:val="0"/>
          <w:sz w:val="24"/>
          <w:szCs w:val="24"/>
          <w:lang w:val="pt-BR" w:bidi="ar-SA"/>
        </w:rPr>
        <w:t>Portaria nº 20/2024 – SGP-Prev</w:t>
      </w:r>
      <w:bookmarkEnd w:id="0"/>
      <w:bookmarkEnd w:id="7"/>
      <w:bookmarkEnd w:id="8"/>
      <w:bookmarkEnd w:id="13"/>
    </w:p>
    <w:sectPr>
      <w:headerReference w:type="default" r:id="rId8"/>
      <w:footerReference w:type="default" r:id="rId9"/>
      <w:type w:val="nextPage"/>
      <w:pgSz w:w="11906" w:h="16838"/>
      <w:pgMar w:left="1550" w:right="905" w:gutter="0" w:header="227" w:top="851" w:footer="567" w:bottom="851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Ecofont_Spranq_eco_Sans">
    <w:charset w:val="00"/>
    <w:family w:val="roman"/>
    <w:pitch w:val="variable"/>
  </w:font>
  <w:font w:name="Times New Roman">
    <w:charset w:val="01"/>
    <w:family w:val="roman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  <w:font w:name="Tahoma">
    <w:charset w:val="00"/>
    <w:family w:val="roman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jc w:val="center"/>
      <w:rPr>
        <w:rFonts w:ascii="Tahoma" w:hAnsi="Tahoma"/>
        <w:sz w:val="20"/>
        <w:szCs w:val="20"/>
      </w:rPr>
    </w:pPr>
    <w:r>
      <w:rPr>
        <w:rFonts w:ascii="Tahoma" w:hAnsi="Tahoma"/>
        <w:sz w:val="20"/>
        <w:szCs w:val="20"/>
      </w:rPr>
      <w:t>Av. Bértolo Malacarne, 168 – Sala 02 – A, B e C – Glória – São Gabriel da Palha – CEP 29.780-000</w:t>
    </w:r>
  </w:p>
  <w:p>
    <w:pPr>
      <w:pStyle w:val="Rodap"/>
      <w:jc w:val="center"/>
      <w:rPr/>
    </w:pPr>
    <w:r>
      <w:rPr>
        <w:rStyle w:val="Nmerodepgina"/>
        <w:rFonts w:cs="Tahoma" w:ascii="Tahoma" w:hAnsi="Tahoma"/>
        <w:sz w:val="20"/>
        <w:szCs w:val="20"/>
      </w:rPr>
      <w:t xml:space="preserve"> </w:t>
    </w:r>
    <w:r>
      <w:rPr>
        <w:rStyle w:val="Nmerodepgina"/>
        <w:rFonts w:cs="Tahoma" w:ascii="Tahoma" w:hAnsi="Tahoma"/>
        <w:sz w:val="20"/>
        <w:szCs w:val="20"/>
      </w:rPr>
      <w:t xml:space="preserve">Telefone: (27) 3727-1697 - CNPJ 05.251.479/0001-52 E-mail:  </w:t>
    </w:r>
    <w:hyperlink r:id="rId1">
      <w:r>
        <w:rPr>
          <w:rStyle w:val="LinkdaInternet"/>
          <w:rFonts w:cs="Tahoma" w:ascii="Tahoma" w:hAnsi="Tahoma"/>
          <w:sz w:val="20"/>
          <w:szCs w:val="20"/>
        </w:rPr>
        <w:t>saogabrielprev@gmail.com</w:t>
      </w:r>
    </w:hyperlink>
    <w:r>
      <w:rPr>
        <w:rStyle w:val="Nmerodepgina"/>
        <w:rFonts w:cs="Tahoma" w:ascii="Tahoma" w:hAnsi="Tahoma"/>
        <w:sz w:val="20"/>
        <w:szCs w:val="20"/>
      </w:rPr>
      <w:t xml:space="preserve">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Cabealho"/>
      <w:jc w:val="center"/>
      <w:rPr>
        <w:sz w:val="22"/>
        <w:szCs w:val="22"/>
      </w:rPr>
    </w:pPr>
    <w:r>
      <w:rPr/>
      <w:drawing>
        <wp:inline distT="0" distB="0" distL="0" distR="0">
          <wp:extent cx="828675" cy="552450"/>
          <wp:effectExtent l="0" t="0" r="0" b="0"/>
          <wp:docPr id="1" name="Imagem 1 C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 C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3" t="-14" r="-13" b="-14"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Cabealho"/>
      <w:jc w:val="center"/>
      <w:rPr>
        <w:rFonts w:ascii="Calibri" w:hAnsi="Calibri"/>
        <w:b/>
        <w:b/>
      </w:rPr>
    </w:pPr>
    <w:r>
      <w:rPr>
        <w:b/>
        <w:sz w:val="22"/>
        <w:szCs w:val="22"/>
      </w:rPr>
      <w:t>INSTITUTO DE PREVIDÊNCIA DOS SERVIDORES PÚBLICOS</w:t>
    </w:r>
  </w:p>
  <w:p>
    <w:pPr>
      <w:pStyle w:val="Cabealho"/>
      <w:jc w:val="center"/>
      <w:rPr>
        <w:rFonts w:ascii="Calibri" w:hAnsi="Calibri"/>
        <w:b/>
        <w:b/>
      </w:rPr>
    </w:pPr>
    <w:r>
      <w:rPr>
        <w:b/>
        <w:sz w:val="22"/>
        <w:szCs w:val="22"/>
      </w:rPr>
      <w:t>DO MUNICÍPIO DE SÃO GABRIEL DA PALHA</w:t>
    </w:r>
  </w:p>
  <w:p>
    <w:pPr>
      <w:pStyle w:val="Cabealho"/>
      <w:jc w:val="center"/>
      <w:rPr>
        <w:rFonts w:ascii="Calibri" w:hAnsi="Calibri" w:eastAsia="sans-serif" w:cs="Verdana"/>
        <w:b/>
        <w:b/>
        <w:bCs/>
        <w:lang w:val="pt-BR"/>
      </w:rPr>
    </w:pPr>
    <w:r>
      <w:rPr>
        <w:rFonts w:eastAsia="sans-serif" w:cs="Verdana" w:ascii="Arial Narrow" w:hAnsi="Arial Narrow"/>
        <w:b/>
        <w:bCs/>
        <w:sz w:val="22"/>
        <w:szCs w:val="22"/>
        <w:lang w:val="pt-BR"/>
      </w:rPr>
      <w:t>Estado do Espírito Santo</w:t>
    </w:r>
  </w:p>
  <w:p>
    <w:pPr>
      <w:pStyle w:val="Normal"/>
      <w:jc w:val="center"/>
      <w:rPr>
        <w:rFonts w:ascii="Arial Narrow" w:hAnsi="Arial Narrow"/>
        <w:b/>
        <w:b/>
        <w:sz w:val="20"/>
      </w:rPr>
    </w:pPr>
    <w:r>
      <w:rPr>
        <w:rFonts w:ascii="Arial Narrow" w:hAnsi="Arial Narrow"/>
        <w:b/>
        <w:sz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e18e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t-BR" w:eastAsia="pt-BR" w:bidi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537254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2e18ec"/>
    <w:rPr/>
  </w:style>
  <w:style w:type="character" w:styleId="CabealhoChar" w:customStyle="1">
    <w:name w:val="Cabeçalho Char"/>
    <w:basedOn w:val="DefaultParagraphFont"/>
    <w:qFormat/>
    <w:rsid w:val="002e18ec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RodapChar" w:customStyle="1">
    <w:name w:val="Rodapé Char"/>
    <w:basedOn w:val="DefaultParagraphFont"/>
    <w:qFormat/>
    <w:rsid w:val="002e18ec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A6" w:customStyle="1">
    <w:name w:val="A6"/>
    <w:qFormat/>
    <w:rPr>
      <w:color w:val="000000"/>
      <w:sz w:val="18"/>
      <w:u w:val="single"/>
    </w:rPr>
  </w:style>
  <w:style w:type="character" w:styleId="LinkdaInternet" w:customStyle="1">
    <w:name w:val="Hyperlink"/>
    <w:rPr>
      <w:color w:val="000080"/>
      <w:u w:val="single"/>
    </w:rPr>
  </w:style>
  <w:style w:type="character" w:styleId="CorpodetextoChar" w:customStyle="1">
    <w:name w:val="Corpo de texto Char"/>
    <w:basedOn w:val="DefaultParagraphFont"/>
    <w:qFormat/>
    <w:rsid w:val="004568f3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CitaoChar" w:customStyle="1">
    <w:name w:val="Citação Char"/>
    <w:basedOn w:val="DefaultParagraphFont"/>
    <w:link w:val="Quote"/>
    <w:qFormat/>
    <w:rsid w:val="00537254"/>
    <w:rPr>
      <w:rFonts w:ascii="Arial" w:hAnsi="Arial" w:eastAsia="Calibri" w:cs="Tahoma"/>
      <w:i/>
      <w:iCs/>
      <w:color w:val="000000"/>
      <w:sz w:val="20"/>
      <w:szCs w:val="24"/>
      <w:shd w:fill="FFFFCC" w:val="clear"/>
    </w:rPr>
  </w:style>
  <w:style w:type="character" w:styleId="Nivel1Char" w:customStyle="1">
    <w:name w:val="Nivel1 Char"/>
    <w:basedOn w:val="DefaultParagraphFont"/>
    <w:link w:val="Nivel1"/>
    <w:qFormat/>
    <w:locked/>
    <w:rsid w:val="00537254"/>
    <w:rPr>
      <w:rFonts w:ascii="Arial" w:hAnsi="Arial" w:eastAsia="" w:cs="Arial" w:eastAsiaTheme="majorEastAsia"/>
      <w:b/>
      <w:color w:val="000000"/>
      <w:sz w:val="32"/>
      <w:szCs w:val="32"/>
    </w:rPr>
  </w:style>
  <w:style w:type="character" w:styleId="Nivel2Char" w:customStyle="1">
    <w:name w:val="Nivel 2 Char"/>
    <w:basedOn w:val="DefaultParagraphFont"/>
    <w:link w:val="Nivel2"/>
    <w:qFormat/>
    <w:locked/>
    <w:rsid w:val="00537254"/>
    <w:rPr>
      <w:rFonts w:ascii="Arial" w:hAnsi="Arial" w:cs="Arial"/>
      <w:color w:val="000000"/>
    </w:rPr>
  </w:style>
  <w:style w:type="character" w:styleId="Strong" w:customStyle="1">
    <w:name w:val="Strong"/>
    <w:qFormat/>
    <w:rPr>
      <w:b/>
      <w:bCs/>
    </w:rPr>
  </w:style>
  <w:style w:type="character" w:styleId="Ttulo1Char" w:customStyle="1">
    <w:name w:val="Título 1 Char"/>
    <w:basedOn w:val="DefaultParagraphFont"/>
    <w:uiPriority w:val="9"/>
    <w:qFormat/>
    <w:rsid w:val="00537254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pt-BR"/>
    </w:rPr>
  </w:style>
  <w:style w:type="character" w:styleId="Marcadores" w:customStyle="1">
    <w:name w:val="Marcadores"/>
    <w:qFormat/>
    <w:rPr>
      <w:rFonts w:ascii="OpenSymbol" w:hAnsi="OpenSymbol" w:eastAsia="OpenSymbol" w:cs="OpenSymbol"/>
    </w:rPr>
  </w:style>
  <w:style w:type="character" w:styleId="Fontepargpadro1">
    <w:name w:val="Fonte parág. padrão1"/>
    <w:qFormat/>
    <w:rPr/>
  </w:style>
  <w:style w:type="character" w:styleId="Nmerodepgina">
    <w:name w:val="Page Number"/>
    <w:basedOn w:val="Fontepargpadro1"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link w:val="CorpodetextoChar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rsid w:val="002e18ec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Rodap">
    <w:name w:val="Footer"/>
    <w:basedOn w:val="Normal"/>
    <w:link w:val="RodapChar"/>
    <w:rsid w:val="002e18ec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ListParagraph">
    <w:name w:val="List Paragraph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</w:rPr>
  </w:style>
  <w:style w:type="paragraph" w:styleId="Tabelanormal1" w:customStyle="1">
    <w:name w:val="Tabela normal1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Tahoma" w:cs="Times New Roman"/>
      <w:color w:val="auto"/>
      <w:kern w:val="0"/>
      <w:sz w:val="20"/>
      <w:szCs w:val="20"/>
      <w:lang w:val="pt-BR" w:eastAsia="pt-BR" w:bidi="ar-SA"/>
    </w:rPr>
  </w:style>
  <w:style w:type="paragraph" w:styleId="Quote">
    <w:name w:val="Quote"/>
    <w:basedOn w:val="Normal"/>
    <w:next w:val="Normal"/>
    <w:link w:val="CitaoChar"/>
    <w:qFormat/>
    <w:rsid w:val="0053725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false"/>
      <w:spacing w:before="120" w:after="0"/>
      <w:jc w:val="both"/>
    </w:pPr>
    <w:rPr>
      <w:rFonts w:ascii="Arial" w:hAnsi="Arial" w:eastAsia="Calibri" w:cs="Tahoma"/>
      <w:i/>
      <w:iCs/>
      <w:color w:val="000000"/>
      <w:sz w:val="20"/>
      <w:szCs w:val="24"/>
      <w:lang w:eastAsia="en-US"/>
    </w:rPr>
  </w:style>
  <w:style w:type="paragraph" w:styleId="Nivel1" w:customStyle="1">
    <w:name w:val="Nivel1"/>
    <w:basedOn w:val="Ttulo1"/>
    <w:next w:val="Normal"/>
    <w:link w:val="Nivel1Char"/>
    <w:qFormat/>
    <w:rsid w:val="00537254"/>
    <w:pPr>
      <w:suppressAutoHyphens w:val="false"/>
      <w:spacing w:lineRule="auto" w:line="276" w:before="480" w:after="120"/>
      <w:jc w:val="both"/>
      <w:outlineLvl w:val="9"/>
    </w:pPr>
    <w:rPr>
      <w:rFonts w:ascii="Arial" w:hAnsi="Arial" w:cs="Arial"/>
      <w:bCs w:val="false"/>
      <w:color w:val="000000"/>
      <w:sz w:val="32"/>
      <w:szCs w:val="32"/>
      <w:lang w:eastAsia="en-US"/>
    </w:rPr>
  </w:style>
  <w:style w:type="paragraph" w:styleId="Standard" w:customStyle="1">
    <w:name w:val="Standard"/>
    <w:qFormat/>
    <w:rsid w:val="00537254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Citao2" w:customStyle="1">
    <w:name w:val="citação 2"/>
    <w:basedOn w:val="Quote"/>
    <w:qFormat/>
    <w:rsid w:val="00537254"/>
    <w:pPr>
      <w:suppressAutoHyphens w:val="true"/>
    </w:pPr>
    <w:rPr>
      <w:kern w:val="2"/>
      <w:szCs w:val="20"/>
      <w:lang w:eastAsia="zh-CN" w:bidi="hi-IN"/>
    </w:rPr>
  </w:style>
  <w:style w:type="paragraph" w:styleId="Nivel2" w:customStyle="1">
    <w:name w:val="Nivel 2"/>
    <w:basedOn w:val="Normal"/>
    <w:link w:val="Nivel2Char"/>
    <w:qFormat/>
    <w:rsid w:val="00537254"/>
    <w:pPr>
      <w:suppressAutoHyphens w:val="false"/>
      <w:spacing w:lineRule="auto" w:line="276" w:before="120" w:after="120"/>
      <w:jc w:val="both"/>
    </w:pPr>
    <w:rPr>
      <w:rFonts w:ascii="Arial" w:hAnsi="Arial" w:eastAsia="Calibri" w:cs="Arial" w:eastAsiaTheme="minorHAnsi"/>
      <w:color w:val="000000"/>
      <w:sz w:val="22"/>
      <w:szCs w:val="22"/>
      <w:lang w:eastAsia="en-US"/>
    </w:rPr>
  </w:style>
  <w:style w:type="paragraph" w:styleId="Nivel3" w:customStyle="1">
    <w:name w:val="Nivel 3"/>
    <w:basedOn w:val="ListParagraph"/>
    <w:qFormat/>
    <w:rsid w:val="00537254"/>
    <w:pPr>
      <w:tabs>
        <w:tab w:val="clear" w:pos="708"/>
        <w:tab w:val="left" w:pos="360" w:leader="none"/>
      </w:tabs>
      <w:suppressAutoHyphens w:val="false"/>
      <w:spacing w:before="120" w:after="120"/>
      <w:ind w:left="425" w:hanging="0"/>
      <w:contextualSpacing/>
      <w:jc w:val="both"/>
    </w:pPr>
    <w:rPr>
      <w:rFonts w:ascii="Arial" w:hAnsi="Arial" w:cs="Arial"/>
      <w:sz w:val="20"/>
    </w:rPr>
  </w:style>
  <w:style w:type="paragraph" w:styleId="Contedodatabela" w:customStyle="1">
    <w:name w:val="Conteúdo da tabela"/>
    <w:basedOn w:val="Normal"/>
    <w:qFormat/>
    <w:pPr/>
    <w:rPr/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Nivel01" w:customStyle="1">
    <w:name w:val="Nivel 01"/>
    <w:basedOn w:val="Ttulo1"/>
    <w:qFormat/>
    <w:pPr>
      <w:tabs>
        <w:tab w:val="clear" w:pos="708"/>
        <w:tab w:val="left" w:pos="567" w:leader="none"/>
      </w:tabs>
      <w:spacing w:before="240" w:after="0"/>
      <w:jc w:val="both"/>
      <w:outlineLvl w:val="9"/>
    </w:pPr>
    <w:rPr>
      <w:rFonts w:ascii="Ecofont_Spranq_eco_Sans" w:hAnsi="Ecofont_Spranq_eco_Sans" w:eastAsia="MS Gothic" w:cs="Times New Roman"/>
      <w:color w:val="000000"/>
      <w:sz w:val="20"/>
      <w:szCs w:val="20"/>
    </w:rPr>
  </w:style>
  <w:style w:type="paragraph" w:styleId="PADRO" w:customStyle="1">
    <w:name w:val="PADRÃO"/>
    <w:qFormat/>
    <w:pPr>
      <w:keepNext w:val="true"/>
      <w:widowControl w:val="false"/>
      <w:shd w:val="clear" w:color="auto"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4"/>
      <w:szCs w:val="24"/>
      <w:lang w:val="pt-BR" w:eastAsia="zh-CN" w:bidi="hi-IN"/>
    </w:rPr>
  </w:style>
  <w:style w:type="paragraph" w:styleId="Ttulodetabela" w:customStyle="1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PargrafodaLista">
    <w:name w:val="Parágrafo da Lista"/>
    <w:basedOn w:val="Normal"/>
    <w:qFormat/>
    <w:pPr>
      <w:spacing w:lineRule="auto" w:line="276" w:before="0" w:after="200"/>
      <w:ind w:left="720" w:right="0" w:hanging="0"/>
      <w:contextualSpacing/>
    </w:pPr>
    <w:rPr>
      <w:rFonts w:ascii="Calibri" w:hAnsi="Calibri" w:eastAsia="Calibri" w:cs="Calibri"/>
      <w:sz w:val="22"/>
      <w:szCs w:val="22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53725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planalto.gov.br/ccivil_03/leis/lcp/lcp123.htm" TargetMode="External"/><Relationship Id="rId3" Type="http://schemas.openxmlformats.org/officeDocument/2006/relationships/hyperlink" Target="http://www.portaldatransparencia.gov.br/ceis" TargetMode="External"/><Relationship Id="rId4" Type="http://schemas.openxmlformats.org/officeDocument/2006/relationships/hyperlink" Target="http://www.cnj.jus.br/improbidade_adm/consultar_requerido.php" TargetMode="External"/><Relationship Id="rId5" Type="http://schemas.openxmlformats.org/officeDocument/2006/relationships/hyperlink" Target="https://www.tcees.tc.br/portal-da-transparencia/consultas/lista-de" TargetMode="External"/><Relationship Id="rId6" Type="http://schemas.openxmlformats.org/officeDocument/2006/relationships/hyperlink" Target="https://certidoesapf.apps.tcu.gov.br/" TargetMode="External"/><Relationship Id="rId7" Type="http://schemas.openxmlformats.org/officeDocument/2006/relationships/hyperlink" Target="http://www.portaldoempreendedor.gov.br/" TargetMode="Externa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saogabrielprev@gmail.com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Application>LibreOffice/7.4.4.2$Windows_X86_64 LibreOffice_project/85569322deea74ec9134968a29af2df5663baa21</Application>
  <AppVersion>15.0000</AppVersion>
  <Pages>13</Pages>
  <Words>4210</Words>
  <Characters>24297</Characters>
  <CharactersWithSpaces>28282</CharactersWithSpaces>
  <Paragraphs>281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2024-05-07T17:48:00Z</dcterms:created>
  <dc:creator>Ruth Barbara da Silwa Nascimento</dc:creator>
  <dc:description/>
  <dc:language>pt-BR</dc:language>
  <cp:lastModifiedBy/>
  <cp:lastPrinted>2024-06-27T14:22:39Z</cp:lastPrinted>
  <dcterms:modified xsi:type="dcterms:W3CDTF">2024-07-30T19:19:51Z</dcterms:modified>
  <cp:revision>123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